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Partea GENERALĂ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1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Legea penală și limitele ei de aplicare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Principii generale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Legea penală prevede faptele care constituie infracțiuni.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Nicio persoană nu poate fi sancționată penal pentru o faptă care nu era prevăzută de legea penală la data când a fost săvârșită.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2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Legea penală prevede pedepsele aplicabile și măsurile educative ce se pot lua față de persoanele care au săvârșit infracțiuni, precum și măsurile de siguranță ce se pot lua față de persoanele care au comis fapte prevăzute de legea penală.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Nu se poate aplica o pedeapsă ori nu se poate lua o măsură educativă sau o măsură de siguranță dacă aceasta nu era prevăzută de legea penală la data când fapta a fost săvârșită.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Nicio pedeapsă nu poate fi stabilită și aplicată în afara limitelor generale ale acesteia. </w:t>
      </w:r>
    </w:p>
    <w:p w:rsidR="00DA0BE5" w:rsidRPr="00687518" w:rsidRDefault="00DA0BE5" w:rsidP="00DA0BE5">
      <w:pPr>
        <w:autoSpaceDE w:val="0"/>
        <w:autoSpaceDN w:val="0"/>
        <w:adjustRightInd w:val="0"/>
        <w:spacing w:after="0" w:line="240" w:lineRule="auto"/>
        <w:rPr>
          <w:rFonts w:cs="Calibri"/>
          <w:b/>
          <w:bCs/>
          <w:lang w:val="ro-RO" w:eastAsia="ro-RO"/>
        </w:rPr>
      </w:pP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Aplicarea legii penale </w:t>
      </w:r>
    </w:p>
    <w:p w:rsidR="00DA0BE5" w:rsidRPr="00687518" w:rsidRDefault="00DA0BE5" w:rsidP="00DA0BE5">
      <w:pPr>
        <w:autoSpaceDE w:val="0"/>
        <w:autoSpaceDN w:val="0"/>
        <w:adjustRightInd w:val="0"/>
        <w:spacing w:after="0" w:line="240" w:lineRule="auto"/>
        <w:rPr>
          <w:rFonts w:cs="Calibri"/>
          <w:lang w:val="ro-RO" w:eastAsia="ro-RO"/>
        </w:rPr>
      </w:pPr>
      <w:proofErr w:type="spellStart"/>
      <w:r w:rsidRPr="00687518">
        <w:rPr>
          <w:rFonts w:cs="Calibri"/>
          <w:b/>
          <w:bCs/>
          <w:lang w:val="ro-RO" w:eastAsia="ro-RO"/>
        </w:rPr>
        <w:t>Sectiune</w:t>
      </w:r>
      <w:proofErr w:type="spellEnd"/>
      <w:r w:rsidRPr="00687518">
        <w:rPr>
          <w:rFonts w:cs="Calibri"/>
          <w:b/>
          <w:bCs/>
          <w:lang w:val="ro-RO" w:eastAsia="ro-RO"/>
        </w:rPr>
        <w:t xml:space="preserve"> 1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Aplicarea legii penale în timp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3 - </w:t>
      </w:r>
      <w:r w:rsidRPr="00687518">
        <w:rPr>
          <w:rFonts w:cs="Calibri"/>
          <w:lang w:val="ro-RO" w:eastAsia="ro-RO"/>
        </w:rPr>
        <w:t xml:space="preserve">Legea penală se aplică infracțiunilor săvârșite în timpul cât ea se află în vigoare.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4 - </w:t>
      </w:r>
      <w:r w:rsidRPr="00687518">
        <w:rPr>
          <w:rFonts w:cs="Calibri"/>
          <w:lang w:val="ro-RO" w:eastAsia="ro-RO"/>
        </w:rPr>
        <w:t xml:space="preserve">Legea penală nu se aplică faptelor săvârșite sub legea veche, dacă nu mai sunt prevăzute de legea nouă. În acest caz, executarea pedepselor, a măsurilor educative și a măsurilor de siguranță, pronunțate în baza legii vechi, precum și toate consecințele penale ale hotărârilor judecătorești privitoare la aceste fapte încetează prin intrarea în vigoare a legii noi.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5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 cazul în care de la săvârșirea infracțiunii până la judecarea definitivă a cauzei au intervenit una sau mai multe legi penale, se aplică legea mai favorabilă.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Dispozițiile alin. (1) se aplică și actelor normative ori prevederilor din acestea declarate neconstituționale, precum și ordonanțelor de urgență aprobate de Parlament cu modificări sau completări ori respinse, dacă în timpul când acestea s-au aflat în vigoare au cuprins dispoziții penale mai favorabile.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6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Când după rămânerea definitivă a hotărârii de condamnare și până la executarea completă a pedepsei închisorii sau amenzii a intervenit o lege care prevede o pedeapsă mai ușoară, sancțiunea aplicată, dacă depășește maximul special prevăzut de legea nouă pentru infracțiunea săvârșită, se reduce la acest maxim.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după rămânerea definitivă a hotărârii de condamnare la detențiune pe viață și până la executarea ei a intervenit o lege care prevede pentru aceeași faptă numai pedeapsa închisorii, pedeapsa detențiunii pe viață se înlocuiește cu maximul închisorii prevăzut pentru acea infracțiune.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legea nouă prevede în locul pedepsei închisorii numai amenda, pedeapsa aplicată se înlocuiește cu amenda, fără a se putea depăși maximul special prevăzut în legea nouă. Ținându-se seama de partea executată din pedeapsa închisorii, se poate înlătura în totul sau în parte executarea amenzii.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Măsurile educative neexecutate și neprevăzute în legea nouă nu se mai execută, iar cele care au corespondent în legea nouă se execută în conținutul și limitele prevăzute de aceasta, dacă este mai favorabilă.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Când legea nouă este mai favorabilă în condițiile alin. (1)-(4), pedepsele complementare și măsurile de siguranță neexecutate și neprevăzute în legea nouă nu se mai execută, iar cele care au corespondent în legea nouă se execută în conținutul și limitele prevăzute de aceasta.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(6) - </w:t>
      </w:r>
      <w:r w:rsidRPr="00687518">
        <w:rPr>
          <w:rFonts w:cs="Calibri"/>
          <w:lang w:val="ro-RO" w:eastAsia="ro-RO"/>
        </w:rPr>
        <w:t xml:space="preserve">Dacă legea nouă este mai favorabilă numai sub aspectul pedepselor complementare sau măsurilor de siguranță, acestea se execută în conținutul și limitele prevăzute de legea nouă.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(7) - </w:t>
      </w:r>
      <w:r w:rsidRPr="00687518">
        <w:rPr>
          <w:rFonts w:cs="Calibri"/>
          <w:lang w:val="ro-RO" w:eastAsia="ro-RO"/>
        </w:rPr>
        <w:t xml:space="preserve">Când o dispoziție din legea nouă se referă la pedepse definitiv aplicate, se ține seama, în cazul pedepselor executate până la data intrării în vigoare a acesteia, de pedeapsa redusă sau înlocuită potrivit dispozițiilor alin. (1)-(6).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7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Legea penală temporară se aplică infracțiunii săvârșite în timpul când era în vigoare, chiar dacă fapta nu a fost urmărită sau judecată în acel interval de timp.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Legea penală temporară este legea penală care prevede data ieșirii ei din vigoare sau a cărei aplicare este limitată prin natura temporară a situației care a impus adoptarea sa. </w:t>
      </w:r>
    </w:p>
    <w:p w:rsidR="00DA0BE5" w:rsidRPr="00687518" w:rsidRDefault="00DA0BE5" w:rsidP="00DA0BE5">
      <w:pPr>
        <w:autoSpaceDE w:val="0"/>
        <w:autoSpaceDN w:val="0"/>
        <w:adjustRightInd w:val="0"/>
        <w:spacing w:after="0" w:line="240" w:lineRule="auto"/>
        <w:rPr>
          <w:rFonts w:cs="Calibri"/>
          <w:b/>
          <w:bCs/>
          <w:lang w:val="ro-RO" w:eastAsia="ro-RO"/>
        </w:rPr>
      </w:pPr>
    </w:p>
    <w:p w:rsidR="00DA0BE5" w:rsidRPr="00687518" w:rsidRDefault="00DA0BE5" w:rsidP="00DA0BE5">
      <w:pPr>
        <w:autoSpaceDE w:val="0"/>
        <w:autoSpaceDN w:val="0"/>
        <w:adjustRightInd w:val="0"/>
        <w:spacing w:after="0" w:line="240" w:lineRule="auto"/>
        <w:rPr>
          <w:rFonts w:cs="Calibri"/>
          <w:lang w:val="ro-RO" w:eastAsia="ro-RO"/>
        </w:rPr>
      </w:pPr>
      <w:proofErr w:type="spellStart"/>
      <w:r w:rsidRPr="00687518">
        <w:rPr>
          <w:rFonts w:cs="Calibri"/>
          <w:b/>
          <w:bCs/>
          <w:lang w:val="ro-RO" w:eastAsia="ro-RO"/>
        </w:rPr>
        <w:t>Sectiune</w:t>
      </w:r>
      <w:proofErr w:type="spellEnd"/>
      <w:r w:rsidRPr="00687518">
        <w:rPr>
          <w:rFonts w:cs="Calibri"/>
          <w:b/>
          <w:bCs/>
          <w:lang w:val="ro-RO" w:eastAsia="ro-RO"/>
        </w:rPr>
        <w:t xml:space="preserve"> 2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Aplicarea legii penale în spațiu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8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Legea penală română se aplică infracțiunilor săvârșite pe teritoriul României.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Prin teritoriul României se înțelege întinderea de pământ, marea teritorială și apele cu solul, subsolul și spațiul aerian, cuprinse între frontierele de stat.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Prin infracțiune săvârșită pe teritoriul României se înțelege orice infracțiune comisă pe teritoriul arătat în alin. (2) sau pe o navă sub pavilion românesc ori pe o aeronavă înmatriculată în România.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Infracțiunea se consideră săvârșită pe teritoriul României și atunci când pe acest teritoriu ori pe o navă sub pavilion românesc sau pe o aeronavă înmatriculată în România s-a efectuat un act de executare, de instigare sau de complicitate ori s-a produs, chiar în parte, rezultatul infracțiunii.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9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Legea penală română se aplică infracțiunilor săvârșite în afara teritoriului țării de către un cetățean român sau de o persoană juridică română, dacă pedeapsa prevăzută de legea română este detențiunea pe viață ori închisoarea mai mare de 10 ani.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celelalte cazuri, legea penală română se aplică infracțiunilor săvârșite în afara teritoriului țării de către un cetățean român sau de o persoană juridică română, dacă fapta este prevăzută ca infracțiune și de legea penală a țării unde a fost săvârșită ori dacă a fost comisă într-un loc care nu este supus jurisdicției niciunui stat.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Punerea în mișcarea a acțiunii penale se face cu autorizarea prealabilă a procurorului general al parchetului de pe lângă curtea de apel în a cărei rază teritorială se află parchetul mai întâi sesizat sau, după caz, a procurorului general al parchetului de pe lângă Înalta Curte de Casație și Justiție. Termenul în care procurorul poate emite autorizarea este de până la 30 de zile de la data solicitării autorizării și poate fi prelungit, în condițiile legii, fără ca durata totală să depășească 180 de zile.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10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Legea penală română se aplică infracțiunilor săvârșite în afara teritoriului țării de către un cetățean străin sau o persoană fără cetățenie, contra statului român, contra unui cetățean român ori a unei persoane juridice române.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Punerea în mișcare a acțiunii penale se face cu autorizarea prealabilă a procurorului general al Parchetului de pe lângă Înalta Curte de Casație și Justiție și numai dacă fapta nu face obiectul unei proceduri judiciare în statul pe teritoriul căruia s-a comis.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11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Legea penală română se aplică și altor infracțiuni decât celor prevăzute în art. 10, săvârșite în afara teritoriului țării de un cetățean străin sau o persoană fără cetățenie, care se află de bunăvoie pe teritoriul României, în următoarele cazuri: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s-a săvârșit o infracțiune pe care statul român și-a asumat obligația să o reprime în temeiul unui tratat internațional, indiferent dacă este prevăzută sau nu de legea penală a statului pe al cărui teritoriu a fost comisă;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s-a cerut extrădarea sau predarea infractorului și aceasta a fost refuzată.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Dispozițiile alin. (1) lit. b) nu se aplică atunci când, potrivit legii statului în care s-a săvârșit infracțiunea, există o cauză care împiedică punerea în mișcare a acțiunii penale sau continuarea </w:t>
      </w:r>
      <w:r w:rsidRPr="00687518">
        <w:rPr>
          <w:rFonts w:cs="Calibri"/>
          <w:lang w:val="ro-RO" w:eastAsia="ro-RO"/>
        </w:rPr>
        <w:lastRenderedPageBreak/>
        <w:t xml:space="preserve">procesului penal ori executarea pedepsei sau când pedeapsa a fost executată ori este considerată ca executată.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Când pedeapsa nu a fost executată sau a fost executată numai în parte, se procedează potrivit dispozițiilor legale privitoare la recunoașterea hotărârilor străine.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12 - </w:t>
      </w:r>
      <w:r w:rsidRPr="00687518">
        <w:rPr>
          <w:rFonts w:cs="Calibri"/>
          <w:lang w:val="ro-RO" w:eastAsia="ro-RO"/>
        </w:rPr>
        <w:t xml:space="preserve">Dispozițiile art. 8-11 se aplică dacă nu se dispune altfel printr-un tratat internațional la care România este parte.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13 - </w:t>
      </w:r>
      <w:r w:rsidRPr="00687518">
        <w:rPr>
          <w:rFonts w:cs="Calibri"/>
          <w:lang w:val="ro-RO" w:eastAsia="ro-RO"/>
        </w:rPr>
        <w:t xml:space="preserve">Legea penală nu se aplică infracțiunilor săvârșite de către reprezentanții diplomatici ai statelor străine sau de către alte persoane care, în conformitate cu tratatele internaționale, nu sunt supuse jurisdicției penale a statului român.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14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Extrădarea poate fi acordată sau solicitată în temeiul unui tratat internațional la care România este parte ori pe bază de reciprocitate, în condițiile legii.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Predarea sau extrădarea unei persoane în relația cu statele membre ale Uniunii Europene se acordă sau se solicită în condițiile legii. </w:t>
      </w:r>
    </w:p>
    <w:p w:rsidR="00DA0BE5" w:rsidRPr="00687518" w:rsidRDefault="00DA0BE5" w:rsidP="00DA0BE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Predarea unei persoane către un tribunal penal internațional se acordă în condițiile legii. </w:t>
      </w:r>
    </w:p>
    <w:p w:rsidR="007F6422" w:rsidRDefault="007F6422"/>
    <w:sectPr w:rsidR="007F64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D4A" w:rsidRDefault="009B0D4A" w:rsidP="00E26DCF">
      <w:pPr>
        <w:spacing w:after="0" w:line="240" w:lineRule="auto"/>
      </w:pPr>
      <w:r>
        <w:separator/>
      </w:r>
    </w:p>
  </w:endnote>
  <w:endnote w:type="continuationSeparator" w:id="0">
    <w:p w:rsidR="009B0D4A" w:rsidRDefault="009B0D4A" w:rsidP="00E2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CF" w:rsidRDefault="00E26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CF" w:rsidRDefault="00E26D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CF" w:rsidRDefault="00E26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D4A" w:rsidRDefault="009B0D4A" w:rsidP="00E26DCF">
      <w:pPr>
        <w:spacing w:after="0" w:line="240" w:lineRule="auto"/>
      </w:pPr>
      <w:r>
        <w:separator/>
      </w:r>
    </w:p>
  </w:footnote>
  <w:footnote w:type="continuationSeparator" w:id="0">
    <w:p w:rsidR="009B0D4A" w:rsidRDefault="009B0D4A" w:rsidP="00E26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CF" w:rsidRDefault="00E26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E26DCF" w:rsidRDefault="00E26DCF">
        <w:pPr>
          <w:pStyle w:val="Header"/>
          <w:jc w:val="right"/>
        </w:pPr>
        <w:proofErr w:type="spellStart"/>
        <w:r>
          <w:t>Pag</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din</w:t>
        </w:r>
        <w:bookmarkStart w:id="0" w:name="_GoBack"/>
        <w:bookmarkEnd w:id="0"/>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p w:rsidR="00E26DCF" w:rsidRDefault="00E26D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CF" w:rsidRDefault="00E26D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7F6422"/>
    <w:rsid w:val="009B0D4A"/>
    <w:rsid w:val="00DA0BE5"/>
    <w:rsid w:val="00E26D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D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6DCF"/>
    <w:rPr>
      <w:rFonts w:ascii="Calibri" w:eastAsia="Calibri" w:hAnsi="Calibri" w:cs="Times New Roman"/>
      <w:lang w:val="en-US"/>
    </w:rPr>
  </w:style>
  <w:style w:type="paragraph" w:styleId="Footer">
    <w:name w:val="footer"/>
    <w:basedOn w:val="Normal"/>
    <w:link w:val="FooterChar"/>
    <w:uiPriority w:val="99"/>
    <w:unhideWhenUsed/>
    <w:rsid w:val="00E26D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6DC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2014-09-17T05:23:00Z</dcterms:created>
  <dcterms:modified xsi:type="dcterms:W3CDTF">2014-09-17T05:29:00Z</dcterms:modified>
</cp:coreProperties>
</file>