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6 </w:t>
      </w:r>
    </w:p>
    <w:p w:rsidR="00CC1590" w:rsidRPr="00687518" w:rsidRDefault="00CC1590" w:rsidP="00CC1590">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Răspunderea penală a persoanei juridice </w:t>
      </w:r>
    </w:p>
    <w:bookmarkEnd w:id="0"/>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1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Dispoziții generale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135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Persoana juridică, cu excepția statului și a autorităților publice, răspunde penal pentru infracțiunile săvârșite în realizarea obiectului de activitate sau în interesul ori în numele persoanei juridice.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Instituțiile publice nu răspund penal pentru infracțiunile săvârșite în exercitarea unei activități ce nu poate face obiectul domeniului privat.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Răspunderea penală a persoanei juridice nu exclude răspunderea penală a persoanei fizice care a contribuit la săvârșirea aceleiași fapte.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136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Pedepsele aplicabile persoanei juridice sunt principale și complementare.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Pedeapsa principală este amenda.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Pedepsele complementare sunt: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dizolvarea persoanei juridice;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suspendarea activității sau a uneia dintre activitățile persoanei juridice pe o durată de la 3 luni la 3 ani;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închiderea unor puncte de lucru ale persoanei juridice pe o durată de la 3 luni la 3 ani;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interzicerea de a participa la procedurile de achiziții publice pe o durată de la unu la 3 ani;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plasarea sub supraveghere judiciară;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afișarea sau publicarea hotărârii de condamnare. </w:t>
      </w:r>
    </w:p>
    <w:p w:rsidR="00CC1590" w:rsidRPr="00687518" w:rsidRDefault="00CC1590" w:rsidP="00CC1590">
      <w:pPr>
        <w:tabs>
          <w:tab w:val="left" w:pos="1740"/>
        </w:tabs>
        <w:autoSpaceDE w:val="0"/>
        <w:autoSpaceDN w:val="0"/>
        <w:adjustRightInd w:val="0"/>
        <w:spacing w:after="0" w:line="240" w:lineRule="auto"/>
        <w:rPr>
          <w:rFonts w:cs="Calibri"/>
          <w:lang w:val="ro-RO" w:eastAsia="ro-RO"/>
        </w:rPr>
      </w:pPr>
      <w:r w:rsidRPr="00687518">
        <w:rPr>
          <w:rFonts w:cs="Calibri"/>
          <w:b/>
          <w:bCs/>
          <w:lang w:val="ro-RO" w:eastAsia="ro-RO"/>
        </w:rPr>
        <w:t xml:space="preserve">Art. 137 </w:t>
      </w:r>
      <w:r>
        <w:rPr>
          <w:rFonts w:cs="Calibri"/>
          <w:b/>
          <w:bCs/>
          <w:lang w:val="ro-RO" w:eastAsia="ro-RO"/>
        </w:rPr>
        <w:tab/>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Amenda constă în suma de bani pe care persoana juridică este condamnată să o plătească statului.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Cuantumul amenzii se stabilește prin sistemul zilelor-amendă. Suma corespunzătoare unei zile-amendă, cuprinsă între 100 și 5.000 lei, se înmulțește cu numărul zilelor-amendă, care este cuprins între 30 de zile și 600 de zile.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Instanța stabilește numărul zilelor-amendă ținând cont de criteriile generale de individualizare a pedepsei. Cuantumul sumei corespunzătoare unei zile-amendă se determină ținând seama de cifra de afaceri, în cazul persoanei juridice cu scop lucrativ, respectiv de valoarea activului patrimonial în cazul altor persoane juridice, precum și de celelalte obligații ale persoanei juridice.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Limitele speciale ale zilelor-amendă sunt cuprinse între: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60 și 180 de zile-amendă, când legea prevede pentru infracțiunea săvârșită numai pedeapsa amenzii;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120 și 240 de zile-amendă, când legea prevede pedeapsa închisorii de cel mult 5 ani, unică sau alternativ cu pedeapsa amenzii;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180 și 300 de zile-amendă, când legea prevede pedeapsa închisorii de cel mult 10 ani;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240 și 420 de zile-amendă, când legea prevede pedeapsa închisorii de cel mult 20 de ani;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360 și 510 de zile-amendă, când legea prevede pedeapsa închisorii mai mare de 20 de ani sau detențiunea pe viață.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Când prin infracțiunea săvârșită persoana juridică a urmărit obținerea unui folos patrimonial, limitele speciale ale zilelor-amendă prevăzute de lege pentru infracțiunea comisă se pot majora cu o treime, fără a se depăși maximul general al amenzii. La stabilirea amenzii se va ține seama de valoarea folosului patrimonial obținut sau urmărit. </w:t>
      </w:r>
    </w:p>
    <w:p w:rsidR="00CC1590" w:rsidRPr="00687518" w:rsidRDefault="00CC1590" w:rsidP="00CC1590">
      <w:pPr>
        <w:autoSpaceDE w:val="0"/>
        <w:autoSpaceDN w:val="0"/>
        <w:adjustRightInd w:val="0"/>
        <w:spacing w:after="0" w:line="240" w:lineRule="auto"/>
        <w:rPr>
          <w:rFonts w:cs="Calibri"/>
          <w:b/>
          <w:bCs/>
          <w:lang w:val="ro-RO" w:eastAsia="ro-RO"/>
        </w:rPr>
      </w:pP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Regimul pedepselor complementare aplicate persoanei juridice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138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(1) - </w:t>
      </w:r>
      <w:r w:rsidRPr="00687518">
        <w:rPr>
          <w:rFonts w:cs="Calibri"/>
          <w:lang w:val="ro-RO" w:eastAsia="ro-RO"/>
        </w:rPr>
        <w:t xml:space="preserve">Aplicarea uneia sau mai multor pedepse complementare se dispune atunci când instanța constată că, față de natura și gravitatea infracțiunii, precum și de împrejurările cauzei, aceste pedepse sunt necesare.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Aplicarea uneia sau mai multor pedepse complementare este obligatorie când legea prevede această pedeapsă.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Pedepsele complementare prevăzute în art. 136 alin. (3) lit. b)-f) se pot aplica în mod cumulativ.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Executarea pedepselor complementare începe după rămânerea definitivă a hotărârii de condamnare.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139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Pedeapsa complementară a dizolvării persoanei juridice se aplică atunci când: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persoana juridică a fost constituită în scopul săvârșirii de infracțiuni;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obiectul său de activitate a fost deturnat în scopul comiterii de infracțiuni, iar pedeapsa prevăzută de lege pentru infracțiunea săvârșită este închisoarea mai mare de 3 ani.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 de neexecutare, cu rea-credință, a uneia dintre pedepsele complementare prevăzute în art. 136 alin. (3) lit. b)-e), instanța dispune dizolvarea persoanei juridice.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140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Pedeapsa complementară a suspendării activității persoanei juridice constă în interzicerea desfășurării activității sau a uneia dintre activitățile persoanei juridice în realizarea căreia a fost săvârșită infracțiunea.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 de neexecutare, cu rea-credință, a pedepsei complementare prevăzute în art. 136 alin. (3) lit. f), instanța dispune suspendarea activității sau a uneia dintre activitățile persoanei juridice până la punerea în executare a pedepsei complementare, dar nu mai mult de 3 luni.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până la împlinirea termenului prevăzut în alin. (2) pedeapsa complementară nu a fost pusă în executare, instanța dispune dizolvarea persoanei juridice.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141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Pedepsele complementare prevăzute în art. 136 alin. (3) lit. a) și lit. b) nu pot fi aplicate instituțiilor publice, partidelor politice, sindicatelor, patronatelor și organizațiilor religioase ori aparținând minorităților naționale, constituite potrivit legii.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Dispozițiile alin. (1) se aplică și persoanelor juridice care își desfășoară activitatea în domeniul presei.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142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Pedeapsa complementară a închiderii unor puncte de lucru ale persoanei juridice constă în închiderea unuia sau mai multora dintre punctele de lucru aparținând persoanei juridice cu scop lucrativ, în care s-a desfășurat activitatea în realizarea căreia a fost săvârșită infracțiunea.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Dispozițiile alin. (1) nu se aplică persoanelor juridice care își desfășoară activitatea în domeniul presei.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143 - </w:t>
      </w:r>
      <w:r w:rsidRPr="00687518">
        <w:rPr>
          <w:rFonts w:cs="Calibri"/>
          <w:lang w:val="ro-RO" w:eastAsia="ro-RO"/>
        </w:rPr>
        <w:t xml:space="preserve">Pedeapsa complementară a interzicerii de a participa la procedurile de achiziții publice constă în interzicerea de a participa, direct sau indirect, la procedurile pentru atribuirea contractelor de achiziții publice, prevăzute de lege.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144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Pedeapsa complementară a plasării sub supraveghere judiciară presupune desfășurarea sub supravegherea unui mandatar judiciar a activității care a ocazionat comiterea infracțiunii, pe o perioadă de la un an la 3 ani.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Mandatarul judiciar are obligația de a sesiza instanța atunci când constată că persoana juridică nu a luat măsurile necesare în vederea prevenirii comiterii de noi infracțiuni. În cazul în care instanța constată că sesizarea este întemeiată, dispune înlocuirea acestei pedepse cu pedeapsa prevăzută la art. 140.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Plasarea sub supraveghere judiciară nu se aplică în cazul persoanelor juridice menționate în art. 141.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145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(1) - </w:t>
      </w:r>
      <w:r w:rsidRPr="00687518">
        <w:rPr>
          <w:rFonts w:cs="Calibri"/>
          <w:lang w:val="ro-RO" w:eastAsia="ro-RO"/>
        </w:rPr>
        <w:t xml:space="preserve">Afișarea hotărârii definitive de condamnare sau publicarea acesteia se realizează pe cheltuiala persoanei juridice condamnate.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Prin afișarea sau publicarea hotărârii de condamnare nu poate fi dezvăluită identitatea altor persoane.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Afișarea hotărârii de condamnare se realizează în extras, în forma și locul stabilite de instanță, pentru o perioadă cuprinsă între o lună și 3 luni.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Publicarea hotărârii de condamnare se face în extras și în forma stabilită de instanță, prin intermediul presei scrise sau audiovizuale ori prin alte mijloace de comunicare audiovizuală, desemnate de instanță.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Dacă publicarea se face prin presa scrisă sau audiovizuală, instanța stabilește numărul aparițiilor, care nu poate fi mai mare de 10, iar în cazul publicării prin alte mijloace audiovizuale durata acesteia nu poate depăși 3 luni. </w:t>
      </w:r>
    </w:p>
    <w:p w:rsidR="00CC1590" w:rsidRPr="00687518" w:rsidRDefault="00CC1590" w:rsidP="00CC1590">
      <w:pPr>
        <w:autoSpaceDE w:val="0"/>
        <w:autoSpaceDN w:val="0"/>
        <w:adjustRightInd w:val="0"/>
        <w:spacing w:after="0" w:line="240" w:lineRule="auto"/>
        <w:rPr>
          <w:rFonts w:cs="Calibri"/>
          <w:b/>
          <w:bCs/>
          <w:lang w:val="ro-RO" w:eastAsia="ro-RO"/>
        </w:rPr>
      </w:pP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3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Dispoziții comune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146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Există recidivă pentru persoana juridică atunci când, după rămânerea definitivă a unei hotărâri de condamnare și până la reabilitare, persoana juridică săvârșește din nou o infracțiune, cu intenție sau cu intenție depășită.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 de recidivă, limitele speciale ale pedepsei prevăzute de lege pentru noua infracțiune se majorează cu jumătate, fără a depăși maximul general al pedepsei amenzii.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amenda anterioară nu a fost executată, în tot sau în parte, amenda stabilită pentru noua infracțiune, potrivit alin. (2), se adaugă la pedeapsa anterioară sau la restul rămas neexecutat din aceasta.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Dispozițiile art. 42 se aplică în mod corespunzător.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147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 caz de concurs de infracțiuni, de pluralitate intermediară sau de cauze de atenuare ori agravare a răspunderii penale, persoanei juridice i se aplică regimul amenzii prevăzut de lege pentru persoana fizică.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 de pluralitate de infracțiuni, pedepsele complementare de natură diferită, cu excepția dizolvării, sau cele de aceeași natură, dar cu conținut diferit, se cumulează, iar dintre pedepsele complementare de aceeași natură și cu același conținut se aplică cea mai grea.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În caz de pluralitate de infracțiuni, măsurile de siguranță luate conform art. 112 se cumulează.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148 - </w:t>
      </w:r>
      <w:r w:rsidRPr="00687518">
        <w:rPr>
          <w:rFonts w:cs="Calibri"/>
          <w:lang w:val="ro-RO" w:eastAsia="ro-RO"/>
        </w:rPr>
        <w:t xml:space="preserve">Răspunderea penală a persoanei juridice se prescrie în condițiile prevăzute de lege pentru persoana fizică, dispozițiile art. 153-156 aplicându-se în mod corespunzător.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149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Termenul de prescripție a executării pedepsei amenzii aplicate persoanei juridice este de 5 ani.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Executarea pedepselor complementare aplicate persoanelor juridice se prescrie într-un termen de 3 ani, care curge de la data la care pedeapsa amenzii a fost executată sau considerată ca executată.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Dispozițiile art. 161, art. 162 alin. (2), art. 163 și art. 164 se aplică în mod corespunzător.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150 - </w:t>
      </w:r>
      <w:r w:rsidRPr="00687518">
        <w:rPr>
          <w:rFonts w:cs="Calibri"/>
          <w:lang w:val="ro-RO" w:eastAsia="ro-RO"/>
        </w:rPr>
        <w:t xml:space="preserve">Reabilitarea persoanei juridice are loc de drept dacă, în decurs de 3 ani de la data la care pedeapsa amenzii sau pedeapsa complementară a fost executată sau considerată ca executată, aceasta nu a mai săvârșit nicio altă infracțiune.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151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 cazul pierderii personalității juridice prin fuziune, absorbție sau divizare intervenită după comiterea infracțiunii, răspunderea penală și consecințele acesteia se vor angaja: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în sarcina persoanei juridice create prin fuziune;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în sarcina persoanei juridice absorbante;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în sarcina persoanelor juridice care au fost create prin divizare sau care au dobândit fracțiuni din patrimoniul persoanei divizate.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(2) - </w:t>
      </w:r>
      <w:r w:rsidRPr="00687518">
        <w:rPr>
          <w:rFonts w:cs="Calibri"/>
          <w:lang w:val="ro-RO" w:eastAsia="ro-RO"/>
        </w:rPr>
        <w:t xml:space="preserve">În cazul prevăzut la alin. (1), la individualizarea pedepsei se va ține seama de cifra de afaceri, respectiv de valoarea activului patrimonial al persoanei juridice care a comis infracțiunea, precum și de partea din patrimoniul acesteia care a fost transmisă fiecărei persoane juridice participante la operațiune. </w:t>
      </w:r>
    </w:p>
    <w:p w:rsidR="00CC1590" w:rsidRPr="00687518" w:rsidRDefault="00CC1590" w:rsidP="00CC1590">
      <w:pPr>
        <w:autoSpaceDE w:val="0"/>
        <w:autoSpaceDN w:val="0"/>
        <w:adjustRightInd w:val="0"/>
        <w:spacing w:after="0" w:line="240" w:lineRule="auto"/>
        <w:rPr>
          <w:rFonts w:cs="Calibri"/>
          <w:b/>
          <w:bCs/>
          <w:lang w:val="ro-RO" w:eastAsia="ro-RO"/>
        </w:rPr>
      </w:pP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7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Cauzele care înlătură răspunderea penală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152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Amnistia înlătură răspunderea penală pentru infracțiunea săvârșită. Dacă intervine după condamnare, ea înlătură și executarea pedepsei pronunțate, precum și celelalte consecințe ale condamnării. Amenda încasată anterior amnistiei nu se restituie.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Amnistia nu are efecte asupra măsurilor de siguranță și asupra drepturilor persoanei vătămate.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153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Prescripția înlătură răspunderea penală.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Prescripția nu înlătură răspunderea penală în cazul: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infracțiunilor de genocid, contra umanității și de război, indiferent de data la care au fost comise;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infracțiunilor prevăzute la art. 188 și 189 și al infracțiunilor intenționate urmate de moartea victimei.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Prescripția nu înlătură răspunderea penală nici în cazul infracțiunilor prevăzute la alin. (2) lit. b) pentru care nu s-a împlinit termenul de prescripție, generală sau specială, la data intrării în vigoare a acestei dispoziții.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154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Termenele de prescripție a răspunderii penale sunt: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15 ani, când legea prevede pentru infracțiunea săvârșită pedeapsa detențiunii pe viață sau pedeapsa închisorii mai mare de 20 de ani;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10 ani, când legea prevede pentru infracțiunea săvârșită pedeapsa închisorii mai mare de 10 ani, dar care nu depășește 20 de ani;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8 ani, când legea prevede pentru infracțiunea săvârșită pedeapsa închisorii mai mare de 5 ani, dar care nu depășește 10 ani;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5 ani, când legea prevede pentru infracțiunea săvârșită pedeapsa închisorii mai mare de un an, dar care nu depășește 5 ani;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3 ani, când legea prevede pentru infracțiunea săvârșită pedeapsa închisorii care nu depășește un an sau amenda.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Termenele prevăzute în prezentul articol încep să curgă de la data săvârșirii infracțiunii. În cazul infracțiunilor continue termenul curge de la data încetării acțiunii sau inacțiunii, în cazul infracțiunilor continuate, de la data săvârșirii ultimei acțiuni sau inacțiuni, iar în cazul infracțiunilor de obicei, de la data săvârșirii ultimului act.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În cazul infracțiunilor progresive, termenul de prescripție a răspunderii penale începe să curgă de la data săvârșirii acțiunii sau inacțiunii și se calculează în raport cu pedeapsa corespunzătoare rezultatului definitiv produs.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În cazul infracțiunilor contra libertății și integrității sexuale, săvârșite față de un minor, termenul de prescripție începe să curgă de la data la care acesta a devenit major. Dacă minorul a decedat înainte de împlinirea majoratului, termenul de prescripție începe să curgă de la data decesului.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155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Cursul termenului prescripției răspunderii penale se întrerupe prin îndeplinirea oricărui act de procedură în cauză.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După fiecare întrerupere începe să curgă un nou termen de prescripție.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Întreruperea cursului prescripției produce efecte față de toți participanții la infracțiune, chiar dacă actul de întrerupere privește numai pe unii dintre ei.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Termenele prevăzute la art. 154, dacă au fost depășite cu încă o dată, vor fi socotite îndeplinite oricâte întreruperi ar interveni.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(5) - </w:t>
      </w:r>
      <w:r w:rsidRPr="00687518">
        <w:rPr>
          <w:rFonts w:cs="Calibri"/>
          <w:lang w:val="ro-RO" w:eastAsia="ro-RO"/>
        </w:rPr>
        <w:t xml:space="preserve">Admiterea în principiu a cererii de redeschidere a procesului penal face să curgă un nou termen de prescripție a răspunderii penale.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156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Cursul termenului prescripției răspunderii penale este suspendat pe timpul cât o dispoziție legală sau o împrejurare de neprevăzut ori de neînlăturat împiedică punerea în mișcare a acțiunii penale sau continuarea procesului penal.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Prescripția își reia cursul din ziua în care a încetat cauza de suspendare.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157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 cazul infracțiunilor pentru care punerea în mișcare a acțiunii penale este condiționată de introducerea unei plângeri prealabile de către persoana vătămată, lipsa acestei plângeri înlătură răspunderea penală.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Fapta care a adus o vătămare mai multor persoane atrage răspunderea penală, chiar dacă plângerea prealabilă s-a făcut numai de către una dintre ele.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Fapta atrage răspunderea penală a tuturor persoanelor fizice sau juridice care au participat la săvârșirea acesteia, chiar dacă plângerea prealabilă s-a făcut numai cu privire la una dintre acestea.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În cazul în care cel vătămat este o persoană lipsită de capacitate de exercițiu ori cu capacitatea de exercițiu restrânsă sau o persoană juridică ce este reprezentată de făptuitor, acțiunea penală se poate pune în mișcare și din oficiu.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Dacă persoana vătămată a decedat sau în cazul persoanei juridice aceasta a fost lichidată, înainte de expirarea termenului prevăzut de lege pentru introducerea plângerii, acțiunea penală poate fi pusă în mișcare din oficiu.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158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Retragerea plângerii prealabile poate interveni până la pronunțarea unei hotărâri definitive, în cazul infracțiunilor pentru care punerea în mișcare a acțiunii penale este condiționată de introducerea unei plângeri prealabile.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Retragerea plângerii prealabile înlătură răspunderea penală a persoanei cu privire la care plângerea a fost retrasă.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Pentru persoanele lipsite de capacitate de exercițiu, retragerea plângerii prealabile se face numai de reprezentanții lor legali. În cazul persoanelor cu capacitate de exercițiu restrânsă, retragerea se face cu încuviințarea persoanelor prevăzute de lege.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În cazul infracțiunilor pentru care punerea în mișcare a acțiunii penale este condiționată de introducerea unei plângeri prealabile, dar acțiunea penală a fost pusă în mișcare din oficiu în condițiile legii, retragerea plângerii produce efecte numai dacă este însușită de procuror.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Art. 159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Împăcarea poate interveni în cazul în care punerea în mișcare a acțiunii penale s-a făcut din oficiu, dacă legea o prevede în mod expres.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Împăcarea înlătură răspunderea penală și stinge acțiunea civilă.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Împăcarea produce efecte numai cu privire la persoanele între care a intervenit și dacă are loc până la citirea actului de sesizare a instanței.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Pentru persoanele lipsite de capacitate de exercițiu, împăcarea se face numai de reprezentanții lor legali, iar persoanele cu capacitate de exercițiu restrânsă se pot împăca cu încuviințarea persoanelor prevăzute de lege. </w:t>
      </w:r>
    </w:p>
    <w:p w:rsidR="00CC1590" w:rsidRPr="00687518"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În cazul persoanei juridice, împăcarea se realizează de reprezentantul său legal sau convențional ori de către persoana desemnată în locul acestuia. Împăcarea intervenită între persoana juridică ce a săvârșit infracțiunea și persoana vătămată nu produce efecte față de persoanele fizice care au participat la comiterea aceleiași fapte. </w:t>
      </w:r>
    </w:p>
    <w:p w:rsidR="007F6422" w:rsidRPr="00CC1590" w:rsidRDefault="00CC1590" w:rsidP="00CC1590">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În cazul în care infracțiunea este săvârșită de reprezentantul persoanei juridice vătămate, dispozițiile art. 158 alin. (4) s</w:t>
      </w:r>
      <w:r>
        <w:rPr>
          <w:rFonts w:cs="Calibri"/>
          <w:lang w:val="ro-RO" w:eastAsia="ro-RO"/>
        </w:rPr>
        <w:t xml:space="preserve">e aplică în mod corespunzător. </w:t>
      </w:r>
    </w:p>
    <w:sectPr w:rsidR="007F6422" w:rsidRPr="00CC159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84C" w:rsidRDefault="00D0684C" w:rsidP="00FA2B68">
      <w:pPr>
        <w:spacing w:after="0" w:line="240" w:lineRule="auto"/>
      </w:pPr>
      <w:r>
        <w:separator/>
      </w:r>
    </w:p>
  </w:endnote>
  <w:endnote w:type="continuationSeparator" w:id="0">
    <w:p w:rsidR="00D0684C" w:rsidRDefault="00D0684C"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84C" w:rsidRDefault="00D0684C" w:rsidP="00FA2B68">
      <w:pPr>
        <w:spacing w:after="0" w:line="240" w:lineRule="auto"/>
      </w:pPr>
      <w:r>
        <w:separator/>
      </w:r>
    </w:p>
  </w:footnote>
  <w:footnote w:type="continuationSeparator" w:id="0">
    <w:p w:rsidR="00D0684C" w:rsidRDefault="00D0684C"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CC1590">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CC1590">
          <w:rPr>
            <w:b/>
            <w:bCs/>
            <w:noProof/>
          </w:rPr>
          <w:t>5</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367CB9"/>
    <w:rsid w:val="004F0223"/>
    <w:rsid w:val="007F6422"/>
    <w:rsid w:val="00BF1579"/>
    <w:rsid w:val="00C33F25"/>
    <w:rsid w:val="00CC1590"/>
    <w:rsid w:val="00D0684C"/>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2492</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2014-09-17T05:38:00Z</dcterms:created>
  <dcterms:modified xsi:type="dcterms:W3CDTF">2014-09-17T05:38:00Z</dcterms:modified>
</cp:coreProperties>
</file>