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68" w:rsidRPr="00687518" w:rsidRDefault="00FA2B68" w:rsidP="00FA2B68">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Dispoziții generale </w:t>
      </w:r>
    </w:p>
    <w:bookmarkEnd w:id="0"/>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15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Infracțiunea este fapta prevăzută de legea penală, săvârșită cu vinovăție, nejustificată și imputabilă persoanei care a săvârșit-o.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Infracțiunea este singurul temei al răspunderii penale.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16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constituie infracțiune numai dacă a fost săvârșită cu forma de vinovăție cerută de legea penală.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Vinovăție există când fapta este comisă cu intenție, din culpă sau cu intenție depășită.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Fapta este săvârșită cu intenție când făptuitorul: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prevede rezultatul faptei sale, urmărind producerea lui prin săvârșirea acelei fapte;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prevede rezultatul faptei sale și, deși nu-l urmărește, acceptă posibilitatea producerii lui.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Fapta este săvârșită din culpă, când făptuitorul: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prevede rezultatul faptei sale, dar nu-l acceptă, socotind fără temei că el nu se va produce;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nu prevede rezultatul faptei sale, deși trebuia și putea să îl prevadă.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Există intenție depășită când fapta constând într-o acțiune sau inacțiune intenționată produce un rezultat mai grav, care se datorează culpei făptuitorului.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Fapta constând într-o acțiune sau inacțiune constituie infracțiune când este săvârșită cu intenție. Fapta comisă din culpă constituie infracțiune numai când legea o prevede în mod expres.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17 - </w:t>
      </w:r>
      <w:r w:rsidRPr="00687518">
        <w:rPr>
          <w:rFonts w:cs="Calibri"/>
          <w:lang w:val="ro-RO" w:eastAsia="ro-RO"/>
        </w:rPr>
        <w:t xml:space="preserve">Infracțiunea comisivă care presupune producerea unui rezultat se consideră săvârșită și prin omisiune, când: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există o obligație legală sau contractuală de a acționa;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autorul omisiunii, printr-o acțiune sau inacțiune anterioară, a creat pentru valoarea socială protejată o stare de pericol care a înlesnit producerea rezultatului. </w:t>
      </w:r>
    </w:p>
    <w:p w:rsidR="00FA2B68" w:rsidRPr="00687518" w:rsidRDefault="00FA2B68" w:rsidP="00FA2B68">
      <w:pPr>
        <w:autoSpaceDE w:val="0"/>
        <w:autoSpaceDN w:val="0"/>
        <w:adjustRightInd w:val="0"/>
        <w:spacing w:after="0" w:line="240" w:lineRule="auto"/>
        <w:rPr>
          <w:rFonts w:cs="Calibri"/>
          <w:b/>
          <w:bCs/>
          <w:lang w:val="ro-RO" w:eastAsia="ro-RO"/>
        </w:rPr>
      </w:pP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Cauzele justificative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18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Nu constituie infracțiune fapta prevăzută de legea penală, dacă există vreuna dintre cauzele justificative prevăzute de lege.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Efectul cauzelor justificative se extinde și asupra participanților.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19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Este justificată fapta prevăzută de legea penală săvârșită în legitimă apărare.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Este în legitimă apărare persoana care săvârșește fapta pentru a înlătura un atac material, direct, imediat și injust, care pune în pericol persoana sa, a altuia, drepturile acestora sau un interes general, dacă apărarea este proporțională cu gravitatea atacului.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Se prezumă a fi în legitimă apărare, în condițiile alin. (2), acela care comite fapta pentru a respinge pătrunderea unei persoane într-o locuință, încăpere, dependință sau loc împrejmuit ținând de aceasta, fără drept, prin violență, viclenie, efracție sau alte asemenea modalități nelegale ori în timpul nopții.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20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Este justificată fapta prevăzută de legea penală săvârșită în stare de necesitate.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Este în stare de necesitate persoana care săvârșește fapta pentru a salva de la un pericol imediat și care nu putea fi înlăturat altfel viața, integritatea corporală sau sănătatea sa ori a altei persoane sau un bun important al său ori al altei persoane sau un interes general, dacă urmările faptei nu sunt vădit mai grave decât cele care s-ar fi putut produce în cazul în care pericolul nu era înlăturat.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21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Este justificată fapta prevăzută de legea penală constând în exercitarea unui drept recunoscut de lege sau în îndeplinirea unei obligații impuse de lege, cu respectarea condițiilor și limitelor prevăzute de aceasta.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Este de asemenea justificată fapta prevăzută de legea penală constând în îndeplinirea unei obligații impuse de autoritatea competentă, în forma prevăzută de lege, dacă aceasta nu este în mod vădit ilegală.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22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Este justificată fapta prevăzută de legea penală săvârșită cu consimțământul persoanei vătămate, dacă aceasta putea să dispună în mod legal de valoarea socială lezată sau pusă în pericol.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Consimțământul persoanei vătămate nu produce efecte în cazul infracțiunilor contra vieții, precum și atunci când legea exclude efectul justificativ al acestuia. </w:t>
      </w:r>
    </w:p>
    <w:p w:rsidR="00FA2B68" w:rsidRPr="00687518" w:rsidRDefault="00FA2B68" w:rsidP="00FA2B68">
      <w:pPr>
        <w:autoSpaceDE w:val="0"/>
        <w:autoSpaceDN w:val="0"/>
        <w:adjustRightInd w:val="0"/>
        <w:spacing w:after="0" w:line="240" w:lineRule="auto"/>
        <w:rPr>
          <w:rFonts w:cs="Calibri"/>
          <w:b/>
          <w:bCs/>
          <w:lang w:val="ro-RO" w:eastAsia="ro-RO"/>
        </w:rPr>
      </w:pP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Cauzele de neimputabilitate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23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Nu constituie infracțiune fapta prevăzută de legea penală, dacă a fost comisă în condițiile vreuneia dintre cauzele de neimputabilitate.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Efectul cauzelor de neimputabilitate nu se extinde asupra participanților, cu excepția cazului fortuit.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24 - </w:t>
      </w:r>
      <w:r w:rsidRPr="00687518">
        <w:rPr>
          <w:rFonts w:cs="Calibri"/>
          <w:lang w:val="ro-RO" w:eastAsia="ro-RO"/>
        </w:rPr>
        <w:t xml:space="preserve">Nu este imputabilă fapta prevăzută de legea penală săvârșită din cauza unei constrângeri fizice căreia făptuitorul nu i-a putut rezista.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25 - </w:t>
      </w:r>
      <w:r w:rsidRPr="00687518">
        <w:rPr>
          <w:rFonts w:cs="Calibri"/>
          <w:lang w:val="ro-RO" w:eastAsia="ro-RO"/>
        </w:rPr>
        <w:t xml:space="preserve">Nu este imputabilă fapta prevăzută de legea penală săvârșită din cauza unei constrângeri morale, exercitată prin amenințare cu un pericol grav pentru persoana făptuitorului ori a altuia și care nu putea fi înlăturat în alt mod.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Nu este imputabilă fapta prevăzută de legea penală săvârșită de persoana aflată în stare de legitimă apărare, care a depășit, din cauza tulburării sau temerii, limitele unei apărări proporționale cu gravitatea atacului.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este imputabilă fapta prevăzută de legea penală săvârșită de persoana aflată în stare de necesitate, care nu și-a dat seama, în momentul comiterii faptei, că pricinuiește urmări vădit mai grave decât cele care s-ar fi putut produce dacă pericolul nu era înlăturat.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27 - </w:t>
      </w:r>
      <w:r w:rsidRPr="00687518">
        <w:rPr>
          <w:rFonts w:cs="Calibri"/>
          <w:lang w:val="ro-RO" w:eastAsia="ro-RO"/>
        </w:rPr>
        <w:t xml:space="preserve">Nu este imputabilă fapta prevăzută de legea penală săvârșită de un minor, care la data comiterii acesteia nu îndeplinea condițiile legale pentru a răspunde penal.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28 - </w:t>
      </w:r>
      <w:r w:rsidRPr="00687518">
        <w:rPr>
          <w:rFonts w:cs="Calibri"/>
          <w:lang w:val="ro-RO" w:eastAsia="ro-RO"/>
        </w:rPr>
        <w:t xml:space="preserve">Nu este imputabilă fapta prevăzută de legea penală săvârșită de persoana care, în momentul comiterii acesteia, nu putea să-și dea seama de acțiunile sau inacțiunile sale ori nu putea să le controleze, fie din cauza unei boli psihice, fie din alte cauze.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29 - </w:t>
      </w:r>
      <w:r w:rsidRPr="00687518">
        <w:rPr>
          <w:rFonts w:cs="Calibri"/>
          <w:lang w:val="ro-RO" w:eastAsia="ro-RO"/>
        </w:rPr>
        <w:t xml:space="preserve">Nu este imputabilă fapta prevăzută de legea penală săvârșită de persoana care, în momentul comiterii acesteia, nu putea să-și dea seama de acțiunile sau inacțiunile sale ori nu putea să le controleze, din cauza intoxicării involuntare cu alcool sau cu alte substanțe psihoactive.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30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Nu constituie infracțiune fapta prevăzută de legea penală săvârșită de persoana care, în momentul comiterii acesteia, nu cunoștea existența unei stări, situații ori împrejurări de care depinde caracterul penal al faptei.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se aplică și faptelor săvârșite din culpă pe care legea penală le pedepsește, numai dacă necunoașterea stării, situației ori împrejurării respective nu este ea însăși rezultatul culpei.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constituie circumstanță agravantă sau element circumstanțial agravant starea, situația ori împrejurarea pe care infractorul nu a cunoscut-o în momentul săvârșirii infracțiunii.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Prevederile alin. (1)-(3) se aplică în mod corespunzător și în cazul necunoașterii unei dispoziții legale extrapenale.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Nu este imputabilă fapta prevăzută de legea penală săvârșită ca urmare a necunoașterii sau cunoașterii greșite a caracterului ilicit al acesteia din cauza unei împrejurări care nu putea fi în niciun fel evitată.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31 - </w:t>
      </w:r>
      <w:r w:rsidRPr="00687518">
        <w:rPr>
          <w:rFonts w:cs="Calibri"/>
          <w:lang w:val="ro-RO" w:eastAsia="ro-RO"/>
        </w:rPr>
        <w:t xml:space="preserve">Nu este imputabilă fapta prevăzută de legea penală al cărei rezultat e consecința unei împrejurări care nu putea fi prevăzută. </w:t>
      </w:r>
    </w:p>
    <w:p w:rsidR="00FA2B68" w:rsidRPr="00687518" w:rsidRDefault="00FA2B68" w:rsidP="00FA2B68">
      <w:pPr>
        <w:autoSpaceDE w:val="0"/>
        <w:autoSpaceDN w:val="0"/>
        <w:adjustRightInd w:val="0"/>
        <w:spacing w:after="0" w:line="240" w:lineRule="auto"/>
        <w:rPr>
          <w:rFonts w:cs="Calibri"/>
          <w:b/>
          <w:bCs/>
          <w:lang w:val="ro-RO" w:eastAsia="ro-RO"/>
        </w:rPr>
      </w:pP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4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Tentativa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Tentativa constă în punerea în executare a intenției de a săvârși infracțiunea, executare care a fost însă întreruptă sau nu și-a produs efectul.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există tentativă atunci când imposibilitatea de consumare a infracțiunii este consecința modului cum a fost concepută executarea.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33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Tentativa se pedepsește numai când legea prevede în mod expres aceasta.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sancționează cu pedeapsa prevăzută de lege pentru infracțiunea consumată, ale cărei limite se reduc la jumătate. Când pentru infracțiunea consumată legea prevede pedeapsa detențiunii pe viață, iar instanța s-ar orienta spre aceasta, tentativa se sancționează cu pedeapsa închisorii de la 10 la 20 de ani.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34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Nu se pedepsește autorul care, înainte de descoperirea faptei, s-a desistat ori a încunoștințat autoritățile de comiterea acesteia, astfel încât consumarea să poată fi împiedicată, sau a împiedicat el însuși consumarea infracțiunii.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actele îndeplinite până în momentul desistării sau împiedicării producerii rezultatului constituie o altă infracțiune, se aplică pedeapsa pentru această infracțiune. </w:t>
      </w:r>
    </w:p>
    <w:p w:rsidR="00FA2B68" w:rsidRPr="00687518" w:rsidRDefault="00FA2B68" w:rsidP="00FA2B68">
      <w:pPr>
        <w:autoSpaceDE w:val="0"/>
        <w:autoSpaceDN w:val="0"/>
        <w:adjustRightInd w:val="0"/>
        <w:spacing w:after="0" w:line="240" w:lineRule="auto"/>
        <w:rPr>
          <w:rFonts w:cs="Calibri"/>
          <w:b/>
          <w:bCs/>
          <w:lang w:val="ro-RO" w:eastAsia="ro-RO"/>
        </w:rPr>
      </w:pP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5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Unitatea și pluralitatea de infracțiuni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35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Infracțiunea este continuată când o persoană săvârșește la diferite intervale de timp, dar în realizarea aceleiași rezoluții și împotriva aceluiași subiect pasiv, acțiuni sau inacțiuni care prezintă, fiecare în parte, conținutul aceleiași infracțiuni.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Infracțiunea este complexă când în conținutul său intră, ca element constitutiv sau ca element circumstanțial agravant, o acțiune sau o inacțiune care constituie prin ea însăși o faptă prevăzută de legea penală.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36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Infracțiunea continuată se sancționează cu pedeapsa prevăzută de lege pentru infracțiunea săvârșită, al cărei maxim se poate majora cu cel mult 3 ani în cazul pedepsei închisorii, respectiv cu cel mult o treime în cazul pedepsei amenzii.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Infracțiunea complexă se sancționează cu pedeapsa prevăzută de lege pentru acea infracțiune.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Infracțiunea complexă săvârșită cu intenție depășită, dacă s-a produs numai rezultatul mai grav al acțiunii secundare, se sancționează cu pedeapsa prevăzută de lege pentru infracțiunea complexă consumată.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37 - </w:t>
      </w:r>
      <w:r w:rsidRPr="00687518">
        <w:rPr>
          <w:rFonts w:cs="Calibri"/>
          <w:lang w:val="ro-RO" w:eastAsia="ro-RO"/>
        </w:rPr>
        <w:t xml:space="preserve">Dacă cel condamnat definitiv pentru o infracțiune continuată sau complexă este judecat ulterior și pentru alte acțiuni sau inacțiuni care intră în conținutul aceleiași infracțiuni, ținându-se seama de infracțiunea săvârșită în întregul ei, se stabilește o pedeapsă corespunzătoare, care nu poate fi mai ușoară decât cea pronunțată anterior.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38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Există concurs real de infracțiuni când două sau mai multe infracțiuni au fost săvârșite de aceeași persoană, prin acțiuni sau inacțiuni distincte, înainte de a fi condamnată definitiv pentru vreuna din ele. Există concurs real de infracțiuni și atunci când una dintre infracțiuni a fost comisă pentru săvârșirea sau ascunderea altei infracțiuni.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Există concurs formal de infracțiuni când o acțiune sau o inacțiune săvârșită de o persoană, din cauza împrejurărilor în care a avut loc sau a urmărilor pe care le-a produs, realizează conținutul mai multor infracțiuni.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39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(1) - </w:t>
      </w:r>
      <w:r w:rsidRPr="00687518">
        <w:rPr>
          <w:rFonts w:cs="Calibri"/>
          <w:lang w:val="ro-RO" w:eastAsia="ro-RO"/>
        </w:rPr>
        <w:t xml:space="preserve">În caz de concurs de infracțiuni, se stabilește pedeapsa pentru fiecare infracțiune în parte și se aplică pedeapsa, după cum urmează: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când s-au stabilit o pedeapsă cu detențiune pe viață și una sau mai multe pedepse cu închisoare ori cu amendă, se aplică pedeapsa detențiunii pe viață;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când s-au stabilit numai pedepse cu închisoare, se aplică pedeapsa cea mai grea, la care se adaugă un spor de o treime din totalul celorlalte pedepse stabilite;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când s-au stabilit numai pedepse cu amendă, se aplică pedeapsa cea mai grea, la care se adaugă un spor de o treime din totalul celorlalte pedepse stabilite;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când s-au stabilit o pedeapsă cu închisoare și o pedeapsă cu amendă, se aplică pedeapsa închisorii, la care se adaugă în întregime pedeapsa amenzii;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când s-au stabilit mai multe pedepse cu închisoare și mai multe pedepse cu amendă se aplică pedeapsa închisorii conform lit. b), la care se adaugă în întregime pedeapsa amenzii conform lit. c).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Atunci când s-au stabilit mai multe pedepse cu închisoarea, dacă prin adăugare la pedeapsa cea mai mare a sporului de o treime din totalul celorlalte pedepse cu închisoarea stabilite s-ar depăși cu 10 ani sau mai mult maximul general al pedepsei închisorii, iar pentru cel puțin una dintre infracțiunile concurente pedeapsa prevăzută de lege este închisoarea de 20 de ani sau mai mare, se poate aplica pedeapsa detențiunii pe viață.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40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infractorul condamnat definitiv este judecat ulterior pentru o infracțiune concurentă, se aplică dispozițiile art. 39.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art. 39 se aplică și în cazul în care, după ce o hotărâre de condamnare a rămas definitivă, se constată că cel condamnat mai suferise o condamnare definitivă pentru o infracțiune concurentă.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infractorul a executat integral sau parțial pedeapsa aplicată prin hotărârea anterioară, ceea ce s-a executat se scade din durata pedepsei aplicate pentru infracțiunile concurente.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Dispozițiile privitoare la aplicarea pedepsei în caz de concurs de infracțiuni se aplică și în cazul în care condamnarea la pedeapsa detențiunii pe viață a fost comutată sau înlocuită cu pedeapsa închisorii.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În cazul contopirii pedepselor conform alin. (1)-(4) se ține seama și de pedeapsa aplicată printr-o hotărâre de condamnare pronunțată în străinătate, pentru o infracțiune concurentă, dacă hotărârea de condamnare a fost recunoscută potrivit legii.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41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Există recidivă când, după rămânerea definitivă a unei hotărâri de condamnare la pedeapsa închisorii mai mare de un an și până la reabilitare sau împlinirea termenului de reabilitare, condamnatul săvârșește din nou o infracțiune cu intenție sau cu intenție depășită, pentru care legea prevede pedeapsa închisorii de un an sau mai mare.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Există recidivă și în cazul în care una dintre pedepsele prevăzute în alin. (1) este detențiunea pe viață.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Pentru stabilirea stării de recidivă se ține seama și de hotărârea de condamnare pronunțată în străinătate, pentru o faptă prevăzută și de legea penală română, dacă hotărârea de condamnare a fost recunoscută potrivit legii.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42 - </w:t>
      </w:r>
      <w:r w:rsidRPr="00687518">
        <w:rPr>
          <w:rFonts w:cs="Calibri"/>
          <w:lang w:val="ro-RO" w:eastAsia="ro-RO"/>
        </w:rPr>
        <w:t xml:space="preserve">La stabilirea stării de recidivă nu se ține seama de hotărârile de condamnare privitoare la: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faptele care nu mai sunt prevăzute de legea penală;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infracțiunile amnistiate;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infracțiunile săvârșite din culpă.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43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înainte ca pedeapsa anterioară să fi fost executată sau considerată ca executată se săvârșește o nouă infracțiune în stare de recidivă, pedeapsa stabilită pentru aceasta se adaugă la pedeapsa anterioară neexecutată ori la restul rămas neexecutat din aceasta. </w:t>
      </w:r>
    </w:p>
    <w:p w:rsidR="00FA2B68" w:rsidRPr="00687518" w:rsidRDefault="00FA2B68" w:rsidP="00FA2B68">
      <w:pPr>
        <w:autoSpaceDE w:val="0"/>
        <w:autoSpaceDN w:val="0"/>
        <w:adjustRightInd w:val="0"/>
        <w:spacing w:after="0" w:line="240" w:lineRule="auto"/>
        <w:rPr>
          <w:lang w:val="ro-RO" w:eastAsia="ro-RO"/>
        </w:rPr>
      </w:pPr>
      <w:r w:rsidRPr="00687518">
        <w:rPr>
          <w:rFonts w:cs="Calibri"/>
          <w:b/>
          <w:bCs/>
          <w:lang w:val="ro-RO" w:eastAsia="ro-RO"/>
        </w:rPr>
        <w:t xml:space="preserve">(2) - </w:t>
      </w:r>
      <w:r w:rsidRPr="00687518">
        <w:rPr>
          <w:rFonts w:cs="Calibri"/>
          <w:lang w:val="ro-RO" w:eastAsia="ro-RO"/>
        </w:rPr>
        <w:t xml:space="preserve">Când înainte ca pedeapsa anterioară să fi fost executată sau considerată ca executată sunt săvârșite mai multe infracțiuni concurente, dintre care cel puțin una se află în stare de recidivă, pedepsele </w:t>
      </w:r>
      <w:r w:rsidRPr="00687518">
        <w:rPr>
          <w:lang w:val="ro-RO" w:eastAsia="ro-RO"/>
        </w:rPr>
        <w:t xml:space="preserve">stabilite se contopesc potrivit dispozițiilor referitoare la concursul de infracțiuni, iar </w:t>
      </w:r>
      <w:r w:rsidRPr="00687518">
        <w:rPr>
          <w:lang w:val="ro-RO" w:eastAsia="ro-RO"/>
        </w:rPr>
        <w:lastRenderedPageBreak/>
        <w:t xml:space="preserve">pedeapsa rezultată se adaugă la pedeapsa anterioară neexecutată ori la restul rămas neexecutat din aceasta.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prin însumarea pedepselor în condițiile alin. (1) și alin. (2) s-ar depăși cu mai mult de 10 ani maximul general al pedepsei închisorii, iar pentru cel puțin una dintre infracțiunile săvârșite pedeapsa prevăzută de lege este închisoarea de 20 de ani sau mai mare, în locul pedepselor cu închisoarea se poate aplica pedeapsa detențiunii pe viață.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Când pedeapsa anterioară sau pedeapsa stabilită pentru infracțiunea săvârșită în stare de recidivă este detențiunea pe viață, se va executa pedeapsa detențiunii pe viață.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după ce pedeapsa anterioară a fost executată sau considerată ca executată se săvârșește o nouă infracțiune în stare de recidivă, limitele speciale ale pedepsei prevăzute de lege pentru noua infracțiune se majorează cu jumătate.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Dacă după rămânerea definitivă a hotărârii de condamnare pentru noua infracțiune și mai înainte ca pedeapsa să fi fost executată sau considerată ca executată se descoperă că cel condamnat se află în stare de recidivă, instanța aplică dispozițiile alin. (1)-(5).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Dispozițiile alin. (6) se aplică și în cazul în care condamnarea la pedeapsa detențiunii pe viață a fost comutată sau înlocuită cu pedeapsa închisorii.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44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Există pluralitate intermediară de infracțiuni când, după rămânerea definitivă a unei hotărâri de condamnare și până la data la care pedeapsa este executată sau considerată ca executată, condamnatul săvârșește din nou o infracțiune și nu sunt întrunite condițiile prevăzute de lege pentru starea de recidivă.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 de pluralitate intermediară, pedeapsa pentru noua infracțiune și pedeapsa anterioară se contopesc potrivit dispozițiilor de la concursul de infracțiuni.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Art. 45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pentru una dintre infracțiunile săvârșite s-a stabilit și o pedeapsă complementară, aceasta se aplică alături de pedeapsa principală.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s-au stabilit mai multe pedepse complementare de natură diferită sau chiar de aceeași natură, dar cu un conținut diferit, acestea se aplică alături de pedeapsa principală.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s-au stabilit mai multe pedepse complementare de aceeași natură și cu același conținut: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caz de concurs de infracțiuni sau de pluralitate intermediară se aplică cea mai grea dintre acestea;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 caz de recidivă, partea neexecutată din pedeapsa complementară anterioară se adaugă la pedeapsa stabilită pentru noua infracțiune.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condamnărilor succesive pentru infracțiuni concurente, partea din pedeapsa complementară executată până la data contopirii pedepselor principale se scade din durata pedepsei complementare aplicate pe lângă pedeapsa rezultată.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pe lângă pedepsele principale au fost stabilite una sau mai multe pedepse accesorii, se aplică dispozițiile alin. (1)-(3), pedeapsa accesorie rezultată executându-se până la executarea sau considerarea ca executată a pedepsei principale. </w:t>
      </w:r>
    </w:p>
    <w:p w:rsidR="00FA2B68" w:rsidRPr="0068751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Măsurile de siguranță de natură diferită sau chiar de aceeași natură, dar cu un conținut diferit, luate în cazul infracțiunilor săvârșite, se cumulează. </w:t>
      </w:r>
    </w:p>
    <w:p w:rsidR="007F6422" w:rsidRPr="00FA2B68" w:rsidRDefault="00FA2B68" w:rsidP="00FA2B68">
      <w:pPr>
        <w:autoSpaceDE w:val="0"/>
        <w:autoSpaceDN w:val="0"/>
        <w:adjustRightInd w:val="0"/>
        <w:spacing w:after="0" w:line="240" w:lineRule="auto"/>
        <w:rPr>
          <w:rFonts w:cs="Calibri"/>
          <w:lang w:val="ro-RO" w:eastAsia="ro-RO"/>
        </w:rPr>
      </w:pPr>
      <w:r w:rsidRPr="00687518">
        <w:rPr>
          <w:rFonts w:cs="Calibri"/>
          <w:b/>
          <w:bCs/>
          <w:lang w:val="ro-RO" w:eastAsia="ro-RO"/>
        </w:rPr>
        <w:t xml:space="preserve">(7) - </w:t>
      </w:r>
      <w:r w:rsidRPr="00687518">
        <w:rPr>
          <w:rFonts w:cs="Calibri"/>
          <w:lang w:val="ro-RO" w:eastAsia="ro-RO"/>
        </w:rPr>
        <w:t xml:space="preserve">Dacă s-au luat mai multe măsuri de siguranță de aceeași natură și cu același conținut, dar pe durate diferite, se aplică măsura de siguranță cu durata cea mai mare. Măsurile de siguranță luate </w:t>
      </w:r>
      <w:r>
        <w:rPr>
          <w:rFonts w:cs="Calibri"/>
          <w:lang w:val="ro-RO" w:eastAsia="ro-RO"/>
        </w:rPr>
        <w:t xml:space="preserve">conform art. 112 se cumulează. </w:t>
      </w:r>
    </w:p>
    <w:sectPr w:rsidR="007F6422" w:rsidRPr="00FA2B6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C8" w:rsidRDefault="00D72EC8" w:rsidP="00FA2B68">
      <w:pPr>
        <w:spacing w:after="0" w:line="240" w:lineRule="auto"/>
      </w:pPr>
      <w:r>
        <w:separator/>
      </w:r>
    </w:p>
  </w:endnote>
  <w:endnote w:type="continuationSeparator" w:id="0">
    <w:p w:rsidR="00D72EC8" w:rsidRDefault="00D72EC8"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C8" w:rsidRDefault="00D72EC8" w:rsidP="00FA2B68">
      <w:pPr>
        <w:spacing w:after="0" w:line="240" w:lineRule="auto"/>
      </w:pPr>
      <w:r>
        <w:separator/>
      </w:r>
    </w:p>
  </w:footnote>
  <w:footnote w:type="continuationSeparator" w:id="0">
    <w:p w:rsidR="00D72EC8" w:rsidRDefault="00D72EC8"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7F6422"/>
    <w:rsid w:val="00D72EC8"/>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2570</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2014-09-17T05:28:00Z</dcterms:created>
  <dcterms:modified xsi:type="dcterms:W3CDTF">2014-09-17T05:28:00Z</dcterms:modified>
</cp:coreProperties>
</file>