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Titlu 8 </w:t>
      </w:r>
    </w:p>
    <w:p w:rsidR="00C7012C" w:rsidRPr="00687518" w:rsidRDefault="00C7012C" w:rsidP="00C7012C">
      <w:pPr>
        <w:autoSpaceDE w:val="0"/>
        <w:autoSpaceDN w:val="0"/>
        <w:adjustRightInd w:val="0"/>
        <w:spacing w:after="0" w:line="240" w:lineRule="auto"/>
        <w:rPr>
          <w:rFonts w:cs="Calibri"/>
          <w:lang w:val="ro-RO" w:eastAsia="ro-RO"/>
        </w:rPr>
      </w:pPr>
      <w:bookmarkStart w:id="0" w:name="_GoBack"/>
      <w:r w:rsidRPr="00687518">
        <w:rPr>
          <w:rFonts w:cs="Calibri"/>
          <w:b/>
          <w:bCs/>
          <w:lang w:val="ro-RO" w:eastAsia="ro-RO"/>
        </w:rPr>
        <w:t xml:space="preserve">Cauzele care înlătură sau modifică executarea pedepsei </w:t>
      </w:r>
    </w:p>
    <w:bookmarkEnd w:id="0"/>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160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Grațierea are ca efect înlăturarea, în totul sau în parte, a executării pedepsei ori comutarea acesteia în alta mai ușoară.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Grațierea nu are efecte asupra pedepselor complementare și măsurilor educative neprivative de libertate, în afară de cazul când se dispune altfel prin actul de grațiere.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Grațierea nu are efect asupra măsurilor de siguranță și asupra drepturilor persoanei vătămate.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(4) - </w:t>
      </w:r>
      <w:r w:rsidRPr="00687518">
        <w:rPr>
          <w:rFonts w:cs="Calibri"/>
          <w:lang w:val="ro-RO" w:eastAsia="ro-RO"/>
        </w:rPr>
        <w:t xml:space="preserve">Grațierea nu are efecte asupra pedepselor a căror executare este suspendată sub supraveghere, în afară de cazul în care se dispune altfel prin actul de grațiere.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161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Prescripția înlătură executarea pedepsei principale.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Prescripția nu înlătură executarea pedepselor principale în cazul: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infracțiunilor de genocid, contra umanității și de război, indiferent de data la care au fost comise;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infracțiunilor prevăzute la art. 188 și 189 și al infracțiunilor intenționate urmate de moartea victimei.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Prescripția nu înlătură executarea pedepselor principale nici în cazul infracțiunilor prevăzute la alin. (2) lit. b) pentru care, la data intrării în vigoare a acestei dispoziții, nu s-a împlinit termenul de prescripție a executării.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162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Termenele de prescripție a executării pedepsei pentru persoana fizică sunt: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20 de ani, când pedeapsa care urmează a fi executată este detențiunea pe viață sau închisoarea mai mare de 15 ani;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5 ani, plus durata pedepsei ce urmează a fi executată, dar nu mai mult de 15 ani, în cazul celorlalte pedepse cu închisoarea;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3 ani, în cazul când pedeapsa este amenda.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Termenele prevăzute în alin. (1) se socotesc de la data când hotărârea de condamnare a rămas definitivă.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În cazul revocării sau anulării amânării aplicării pedepsei, suspendării executării pedepsei sub supraveghere ori liberării condiționate, termenul de prescripție începe să curgă de la data când hotărârea de revocare sau anulare a rămas definitivă.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(4) - </w:t>
      </w:r>
      <w:r w:rsidRPr="00687518">
        <w:rPr>
          <w:rFonts w:cs="Calibri"/>
          <w:lang w:val="ro-RO" w:eastAsia="ro-RO"/>
        </w:rPr>
        <w:t xml:space="preserve">În cazul revocării liberării condiționate, în condițiile art. 104 alin. (1), termenul de prescripție începe să curgă de la data când hotărârea de revocare a rămas definitivă și se calculează în raport cu restul de pedeapsă neexecutat.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(5) - </w:t>
      </w:r>
      <w:r w:rsidRPr="00687518">
        <w:rPr>
          <w:rFonts w:cs="Calibri"/>
          <w:lang w:val="ro-RO" w:eastAsia="ro-RO"/>
        </w:rPr>
        <w:t xml:space="preserve">În cazul înlocuirii pedepsei amenzii cu pedeapsa închisorii, termenul de prescripție curge de la data când hotărârea de înlocuire a rămas definitivă și se calculează în raport cu durata pedepsei închisorii.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(6) - </w:t>
      </w:r>
      <w:r w:rsidRPr="00687518">
        <w:rPr>
          <w:rFonts w:cs="Calibri"/>
          <w:lang w:val="ro-RO" w:eastAsia="ro-RO"/>
        </w:rPr>
        <w:t xml:space="preserve">Pedepsele complementare aplicate persoanei fizice și măsurile de siguranță nu se prescriu.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(7) - </w:t>
      </w:r>
      <w:r w:rsidRPr="00687518">
        <w:rPr>
          <w:rFonts w:cs="Calibri"/>
          <w:lang w:val="ro-RO" w:eastAsia="ro-RO"/>
        </w:rPr>
        <w:t xml:space="preserve">Prin pedeapsa ce se execută se înțelege pedeapsa stabilită de instanță, ținându-se cont de cauzele ulterioare de modificare a acesteia.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163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Cursul termenului de prescripție a executării pedepsei se întrerupe prin începerea executării pedepsei. Sustragerea de la executare, după începerea executării pedepsei, face să curgă un nou termen de prescripție de la data sustragerii.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Cursul termenului de prescripție a executării se întrerupe și prin săvârșirea din nou a unei infracțiuni.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Cursul termenului de prescripție a executării pedepsei amenzii se întrerupe și prin înlocuirea obligației de plată a amenzii cu obligația de a presta o muncă neremunerată în folosul comunității.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164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Cursul termenului prescripției executării pedepsei este suspendat în cazurile și condițiile prevăzute în Codul de procedură penală.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Prescripția își reia cursul din ziua în care a încetat cauza de suspendare. </w:t>
      </w:r>
    </w:p>
    <w:p w:rsidR="00C7012C" w:rsidRPr="00687518" w:rsidRDefault="00C7012C" w:rsidP="00C7012C">
      <w:pPr>
        <w:autoSpaceDE w:val="0"/>
        <w:autoSpaceDN w:val="0"/>
        <w:adjustRightInd w:val="0"/>
        <w:spacing w:after="0" w:line="240" w:lineRule="auto"/>
        <w:rPr>
          <w:rFonts w:cs="Calibri"/>
          <w:b/>
          <w:bCs/>
          <w:lang w:val="ro-RO" w:eastAsia="ro-RO"/>
        </w:rPr>
      </w:pP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Titlu 9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Cauzele care înlătură consecințele condamnării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165 - </w:t>
      </w:r>
      <w:r w:rsidRPr="00687518">
        <w:rPr>
          <w:rFonts w:cs="Calibri"/>
          <w:lang w:val="ro-RO" w:eastAsia="ro-RO"/>
        </w:rPr>
        <w:t xml:space="preserve">Reabilitarea are loc de drept în cazul condamnării la pedeapsa amenzii, la pedeapsa închisorii care nu depășește 2 ani sau la pedeapsa închisorii a cărei executare a fost suspendată sub supraveghere, dacă în decurs de 3 ani condamnatul nu a săvârșit o altă infracțiune.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166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Condamnatul poate fi reabilitat, la cerere, de instanță, după împlinirea următoarelor termene: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4 ani, în cazul condamnării la pedeapsa închisorii mai mare de 2 ani, dar care nu depășește 5 ani;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5 ani, în cazul condamnării la pedeapsa închisorii mai mare de 5 ani, dar care nu depășește 10 ani;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7 ani, în cazul condamnării la pedeapsa închisorii mai mare de 10 ani sau în cazul pedepsei detențiunii pe viață, comutată sau înlocuită cu pedeapsa închisorii;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d. </w:t>
      </w:r>
      <w:r w:rsidRPr="00687518">
        <w:rPr>
          <w:rFonts w:cs="Calibri"/>
          <w:lang w:val="ro-RO" w:eastAsia="ro-RO"/>
        </w:rPr>
        <w:t xml:space="preserve">10 ani, în cazul condamnării la pedeapsa detențiunii pe viață, considerată executată ca urmare a grațierii, a împlinirii termenului de prescripție a executării pedepsei sau a liberării condiționate.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Condamnatul decedat până la împlinirea termenului de reabilitare poate fi reabilitat dacă instanța, evaluând comportarea condamnatului până la deces, apreciază că merită acest beneficiu.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167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Termenele prevăzute în art. 165 și art. 166 se socotesc de la data când a luat sfârșit executarea pedepsei principale sau de la data când aceasta s-a prescris.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Pentru cei condamnați la pedeapsa amenzii, termenul curge din momentul în care amenda a fost achitată integral sau executarea ei s-a stins în orice alt mod.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În caz de grațiere totală sau de grațiere a restului de pedeapsă, termenul curge de la data actului de grațiere, dacă la acea dată hotărârea de condamnare era definitivă, sau de la data rămânerii definitive a hotărârii de condamnare, dacă actul de grațiere se referă la infracțiuni în curs de judecată.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(4) - </w:t>
      </w:r>
      <w:r w:rsidRPr="00687518">
        <w:rPr>
          <w:rFonts w:cs="Calibri"/>
          <w:lang w:val="ro-RO" w:eastAsia="ro-RO"/>
        </w:rPr>
        <w:t xml:space="preserve">În caz de suspendare sub supraveghere a executării pedepsei, termenul curge de la data împlinirii termenului de supraveghere.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(5) - </w:t>
      </w:r>
      <w:r w:rsidRPr="00687518">
        <w:rPr>
          <w:rFonts w:cs="Calibri"/>
          <w:lang w:val="ro-RO" w:eastAsia="ro-RO"/>
        </w:rPr>
        <w:t xml:space="preserve">În cazul condamnărilor succesive, termenul de reabilitare se calculează în raport cu pedeapsa cea mai grea și curge de la data executării ultimei pedepse.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168 - </w:t>
      </w:r>
      <w:r w:rsidRPr="00687518">
        <w:rPr>
          <w:rFonts w:cs="Calibri"/>
          <w:lang w:val="ro-RO" w:eastAsia="ro-RO"/>
        </w:rPr>
        <w:t xml:space="preserve">Cererea de reabilitare judecătorească se admite dacă cel condamnat întrunește următoarele condiții: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nu a săvârșit o altă infracțiune în intervalul de timp prevăzut în art. 166;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a achitat integral cheltuielile de judecată și și-a îndeplinit obligațiile civile stabilite prin hotărârea de condamnare, afară de cazul când acesta dovedește că nu a avut posibilitatea să le îndeplinească sau când partea civilă a renunțat la despăgubiri.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169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Reabilitarea face să înceteze decăderile și interdicțiile, precum și incapacitățile care rezultă din condamnare.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Reabilitarea nu are ca urmare obligația de reintegrare în funcția din care condamnatul a fost scos în urma condamnării ori de redare a gradului militar pierdut.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Reabilitarea nu are efecte asupra măsurilor de siguranță.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170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În caz de respingere a cererii de reabilitare, nu se poate introduce o nouă cerere decât după un termen de un an, care se socotește de la data respingerii cererii prin hotărâre definitivă.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Condițiile prevăzute în art. 168 trebuie să fie îndeplinite și pentru intervalul de timp care a precedat noua cerere.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Cererea respinsă ca urmare a neîndeplinirii unor condiții de formă poate fi reînnoită potrivit Codului de procedură penală.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171 - </w:t>
      </w:r>
      <w:r w:rsidRPr="00687518">
        <w:rPr>
          <w:rFonts w:cs="Calibri"/>
          <w:lang w:val="ro-RO" w:eastAsia="ro-RO"/>
        </w:rPr>
        <w:t xml:space="preserve">Reabilitarea judecătorească va fi anulată când, după acordarea ei, s-a descoperit că cel reabilitat mai săvârșise o infracțiune care, dacă ar fi fost cunoscută, ar fi condus la respingerea cererii de reabilitare. </w:t>
      </w:r>
    </w:p>
    <w:p w:rsidR="00C7012C" w:rsidRPr="00687518" w:rsidRDefault="00C7012C" w:rsidP="00C7012C">
      <w:pPr>
        <w:autoSpaceDE w:val="0"/>
        <w:autoSpaceDN w:val="0"/>
        <w:adjustRightInd w:val="0"/>
        <w:spacing w:after="0" w:line="240" w:lineRule="auto"/>
        <w:rPr>
          <w:rFonts w:cs="Calibri"/>
          <w:b/>
          <w:bCs/>
          <w:lang w:val="ro-RO" w:eastAsia="ro-RO"/>
        </w:rPr>
      </w:pP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lastRenderedPageBreak/>
        <w:t xml:space="preserve">Titlu 10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Înțelesul unor termeni sau expresii în legea penală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172 - </w:t>
      </w:r>
      <w:r w:rsidRPr="00687518">
        <w:rPr>
          <w:rFonts w:cs="Calibri"/>
          <w:lang w:val="ro-RO" w:eastAsia="ro-RO"/>
        </w:rPr>
        <w:t xml:space="preserve">Ori de câte ori legea penală folosește un termen sau o expresie dintre cele arătate în prezentul titlu, înțelesul acesteia este cel prevăzut în articolele următoare, afară de cazul când legea penală dispune altfel.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173 - </w:t>
      </w:r>
      <w:r w:rsidRPr="00687518">
        <w:rPr>
          <w:rFonts w:cs="Calibri"/>
          <w:lang w:val="ro-RO" w:eastAsia="ro-RO"/>
        </w:rPr>
        <w:t xml:space="preserve">Prin lege penală se înțelege orice dispoziție cu caracter penal cuprinsă în legi organice, ordonanțe de urgență sau alte acte normative care la data adoptării lor aveau putere de lege.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174 - </w:t>
      </w:r>
      <w:r w:rsidRPr="00687518">
        <w:rPr>
          <w:rFonts w:cs="Calibri"/>
          <w:lang w:val="ro-RO" w:eastAsia="ro-RO"/>
        </w:rPr>
        <w:t xml:space="preserve">Prin săvârșirea unei infracțiuni sau comiterea unei infracțiuni se înțelege săvârșirea oricăreia dintre faptele pe care legea le pedepsește ca infracțiune consumată sau ca tentativă, precum și participarea la comiterea acestora în calitate de coautor, instigator sau complice.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175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Funcționar public, în sensul legii penale, este persoana care, cu titlu permanent sau temporar, cu sau fără o remunerație: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exercită atribuții și responsabilități, stabilite în temeiul legii, în scopul realizării prerogativelor puterii legislative, executive sau judecătorești;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exercită o funcție de demnitate publică sau o funcție publică de orice natură;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exercită, singură sau împreună cu alte persoane, în cadrul unei regii autonome, al altui operator economic sau al unei persoane juridice cu capital integral sau majoritar de stat, atribuții legate de realizarea obiectului de activitate al acesteia.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De asemenea, este considerată funcționar public, în sensul legii penale, persoana care exercită un serviciu de interes public pentru care a fost învestită de autoritățile publice sau care este supusă controlului ori supravegherii acestora cu privire la îndeplinirea respectivului serviciu public.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176 - </w:t>
      </w:r>
      <w:r w:rsidRPr="00687518">
        <w:rPr>
          <w:rFonts w:cs="Calibri"/>
          <w:lang w:val="ro-RO" w:eastAsia="ro-RO"/>
        </w:rPr>
        <w:t xml:space="preserve">Prin termenul public se înțelege tot ce privește autoritățile publice, instituțiile publice sau alte persoane juridice care administrează sau exploatează bunurile proprietate publică.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177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Prin membru de familie se înțelege: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ascendenții și descendenții, frații și surorile, copiii acestora, precum și persoanele devenite prin adopție, potrivit legii, astfel de rude;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soțul;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persoanele care au stabilit relații asemănătoare acelora dintre soți sau dintre părinți și copii, în cazul în care conviețuiesc.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Dispozițiile din legea penală privitoare la membru de familie, în limitele prevăzute în alin. (1) lit. a), se aplică, în caz de adopție, și persoanei adoptate ori descendenților acesteia în raport cu rudele firești.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178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Informații secrete de stat sunt informațiile clasificate astfel, potrivit legii.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Înscris oficial este orice înscris care emană de la o persoană juridică dintre cele la care se referă art. 176 ori de la persoana prevăzută în art. 175 alin. (2) sau care aparține unor asemenea persoane.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179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Arme sunt instrumentele, dispozitivele sau piesele declarate astfel prin dispoziții legale.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Sunt asimilate armelor orice alte obiecte de natură a putea fi folosite ca arme și care au fost întrebuințate pentru atac.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180 - </w:t>
      </w:r>
      <w:r w:rsidRPr="00687518">
        <w:rPr>
          <w:rFonts w:cs="Calibri"/>
          <w:lang w:val="ro-RO" w:eastAsia="ro-RO"/>
        </w:rPr>
        <w:t xml:space="preserve">Prin instrument de plată electronică se înțelege un instrument care permite titularului să efectueze retrageri de numerar, încărcarea și descărcarea unui instrument de monedă electronică, precum și transferuri de fonduri, altele decât cele ordonate și executate de către instituții financiare.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181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Prin sistem informatic se înțelege orice dispozitiv sau ansamblu de dispozitive interconectate sau aflate în relație funcțională, dintre care unul sau mai multe asigură prelucrarea automată a datelor, cu ajutorul unui program informatic.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Prin date informatice se înțelege orice reprezentare a unor fapte, informații sau concepte într-o formă care poate fi prelucrată printr-un sistem informatic.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182 - </w:t>
      </w:r>
      <w:r w:rsidRPr="00687518">
        <w:rPr>
          <w:rFonts w:cs="Calibri"/>
          <w:lang w:val="ro-RO" w:eastAsia="ro-RO"/>
        </w:rPr>
        <w:t xml:space="preserve">Prin exploatarea unei persoane se înțelege: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lastRenderedPageBreak/>
        <w:t xml:space="preserve">a. </w:t>
      </w:r>
      <w:r w:rsidRPr="00687518">
        <w:rPr>
          <w:rFonts w:cs="Calibri"/>
          <w:lang w:val="ro-RO" w:eastAsia="ro-RO"/>
        </w:rPr>
        <w:t xml:space="preserve">supunerea la executarea unei munci sau îndeplinirea de servicii, în mod forțat;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ținerea în stare de sclavie sau alte procedee asemănătoare de lipsire de libertate ori de aservire;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obligarea la practicarea prostituției, la manifestări pornografice în vederea producerii și difuzării de materiale pornografice sau la alte forme de exploatare sexuală;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d. </w:t>
      </w:r>
      <w:r w:rsidRPr="00687518">
        <w:rPr>
          <w:rFonts w:cs="Calibri"/>
          <w:lang w:val="ro-RO" w:eastAsia="ro-RO"/>
        </w:rPr>
        <w:t xml:space="preserve">obligarea la practicarea cerșetoriei;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e. </w:t>
      </w:r>
      <w:r w:rsidRPr="00687518">
        <w:rPr>
          <w:rFonts w:cs="Calibri"/>
          <w:lang w:val="ro-RO" w:eastAsia="ro-RO"/>
        </w:rPr>
        <w:t xml:space="preserve">prelevarea de organe, țesuturi sau celule de origine umană, în mod ilegal.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183 - </w:t>
      </w:r>
      <w:r w:rsidRPr="00687518">
        <w:rPr>
          <w:rFonts w:cs="Calibri"/>
          <w:lang w:val="ro-RO" w:eastAsia="ro-RO"/>
        </w:rPr>
        <w:t xml:space="preserve">Prin consecințe deosebit de grave se înțelege o pagubă materială mai mare de 2.000.000 lei.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184 - </w:t>
      </w:r>
      <w:r w:rsidRPr="00687518">
        <w:rPr>
          <w:rFonts w:cs="Calibri"/>
          <w:lang w:val="ro-RO" w:eastAsia="ro-RO"/>
        </w:rPr>
        <w:t xml:space="preserve">Fapta se consideră săvârșită în public atunci când a fost comisă: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 </w:t>
      </w:r>
      <w:r w:rsidRPr="00687518">
        <w:rPr>
          <w:rFonts w:cs="Calibri"/>
          <w:lang w:val="ro-RO" w:eastAsia="ro-RO"/>
        </w:rPr>
        <w:t xml:space="preserve">într-un loc care prin natura sau destinația lui este totdeauna accesibil publicului, chiar dacă nu este prezentă nicio persoană;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b. </w:t>
      </w:r>
      <w:r w:rsidRPr="00687518">
        <w:rPr>
          <w:rFonts w:cs="Calibri"/>
          <w:lang w:val="ro-RO" w:eastAsia="ro-RO"/>
        </w:rPr>
        <w:t xml:space="preserve">în orice alt loc accesibil publicului, dacă sunt de față două sau mai multe persoane;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c. </w:t>
      </w:r>
      <w:r w:rsidRPr="00687518">
        <w:rPr>
          <w:rFonts w:cs="Calibri"/>
          <w:lang w:val="ro-RO" w:eastAsia="ro-RO"/>
        </w:rPr>
        <w:t xml:space="preserve">într-un loc neaccesibil publicului, însă cu intenția ca fapta să fie auzită sau văzută și dacă acest rezultat s-a produs față de două sau mai multe persoane;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d. </w:t>
      </w:r>
      <w:r w:rsidRPr="00687518">
        <w:rPr>
          <w:rFonts w:cs="Calibri"/>
          <w:lang w:val="ro-RO" w:eastAsia="ro-RO"/>
        </w:rPr>
        <w:t xml:space="preserve">într-o adunare sau reuniune de mai multe persoane, cu excepția reuniunilor care pot fi considerate că au caracter de familie, datorită naturii relațiilor dintre persoanele participante.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185 - </w:t>
      </w:r>
      <w:r w:rsidRPr="00687518">
        <w:rPr>
          <w:rFonts w:cs="Calibri"/>
          <w:lang w:val="ro-RO" w:eastAsia="ro-RO"/>
        </w:rPr>
        <w:t xml:space="preserve">Prin timp de război se înțelege durata stării de mobilizare a forțelor armate sau durata stării de război.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186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(1) - </w:t>
      </w:r>
      <w:r w:rsidRPr="00687518">
        <w:rPr>
          <w:rFonts w:cs="Calibri"/>
          <w:lang w:val="ro-RO" w:eastAsia="ro-RO"/>
        </w:rPr>
        <w:t xml:space="preserve">La calcularea timpului ziua se socotește de 24 de ore, săptămâna de 7 zile, iar anul de 12 luni. Luna și anul se socotesc împlinite cu o zi înainte de ziua corespunzătoare datei de la care au început să curgă.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(2) - </w:t>
      </w:r>
      <w:r w:rsidRPr="00687518">
        <w:rPr>
          <w:rFonts w:cs="Calibri"/>
          <w:lang w:val="ro-RO" w:eastAsia="ro-RO"/>
        </w:rPr>
        <w:t xml:space="preserve">Dacă limita de pedeapsă este exprimată într-un termen pe luni care nu este divizibil cu fracția de majorare sau reducere ce ar urma să se aplice, fracția se va aplica asupra termenului transformat în zile, după care durata obținută se transformă în luni. În acest caz, luna se socotește de 30 de zile și se iau în calcul doar zilele întregi rezultate din aplicarea fracției.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(3) - </w:t>
      </w:r>
      <w:r w:rsidRPr="00687518">
        <w:rPr>
          <w:rFonts w:cs="Calibri"/>
          <w:lang w:val="ro-RO" w:eastAsia="ro-RO"/>
        </w:rPr>
        <w:t xml:space="preserve">În cazul limitelor de pedeapsă exprimate în ani se aplică în mod corespunzător dispozițiile alin. (2), transformarea făcându-se între ani și luni. </w:t>
      </w:r>
    </w:p>
    <w:p w:rsidR="00C7012C" w:rsidRPr="00687518" w:rsidRDefault="00C7012C" w:rsidP="00C7012C">
      <w:pPr>
        <w:autoSpaceDE w:val="0"/>
        <w:autoSpaceDN w:val="0"/>
        <w:adjustRightInd w:val="0"/>
        <w:spacing w:after="0" w:line="240" w:lineRule="auto"/>
        <w:rPr>
          <w:rFonts w:cs="Calibri"/>
          <w:lang w:val="ro-RO" w:eastAsia="ro-RO"/>
        </w:rPr>
      </w:pPr>
      <w:r w:rsidRPr="00687518">
        <w:rPr>
          <w:rFonts w:cs="Calibri"/>
          <w:b/>
          <w:bCs/>
          <w:lang w:val="ro-RO" w:eastAsia="ro-RO"/>
        </w:rPr>
        <w:t xml:space="preserve">Art. 187 - </w:t>
      </w:r>
      <w:r w:rsidRPr="00687518">
        <w:rPr>
          <w:rFonts w:cs="Calibri"/>
          <w:lang w:val="ro-RO" w:eastAsia="ro-RO"/>
        </w:rPr>
        <w:t xml:space="preserve">Prin pedeapsă prevăzută de lege se înțelege pedeapsa prevăzută în textul de lege care incriminează fapta săvârșită în forma consumată, fără luarea în considerare a cauzelor de reducere sau de majorare a pedepsei. </w:t>
      </w:r>
    </w:p>
    <w:p w:rsidR="007F6422" w:rsidRPr="00C7012C" w:rsidRDefault="00CC1590" w:rsidP="00C7012C">
      <w:r w:rsidRPr="00C7012C">
        <w:t xml:space="preserve"> </w:t>
      </w:r>
    </w:p>
    <w:sectPr w:rsidR="007F6422" w:rsidRPr="00C7012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F83" w:rsidRDefault="00905F83" w:rsidP="00FA2B68">
      <w:pPr>
        <w:spacing w:after="0" w:line="240" w:lineRule="auto"/>
      </w:pPr>
      <w:r>
        <w:separator/>
      </w:r>
    </w:p>
  </w:endnote>
  <w:endnote w:type="continuationSeparator" w:id="0">
    <w:p w:rsidR="00905F83" w:rsidRDefault="00905F83" w:rsidP="00FA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F83" w:rsidRDefault="00905F83" w:rsidP="00FA2B68">
      <w:pPr>
        <w:spacing w:after="0" w:line="240" w:lineRule="auto"/>
      </w:pPr>
      <w:r>
        <w:separator/>
      </w:r>
    </w:p>
  </w:footnote>
  <w:footnote w:type="continuationSeparator" w:id="0">
    <w:p w:rsidR="00905F83" w:rsidRDefault="00905F83" w:rsidP="00FA2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FA2B68" w:rsidRDefault="00FA2B68">
        <w:pPr>
          <w:pStyle w:val="Head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sidR="00C7012C">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7012C">
          <w:rPr>
            <w:b/>
            <w:bCs/>
            <w:noProof/>
          </w:rPr>
          <w:t>4</w:t>
        </w:r>
        <w:r>
          <w:rPr>
            <w:b/>
            <w:bCs/>
            <w:sz w:val="24"/>
            <w:szCs w:val="24"/>
          </w:rPr>
          <w:fldChar w:fldCharType="end"/>
        </w:r>
      </w:p>
    </w:sdtContent>
  </w:sdt>
  <w:p w:rsidR="00FA2B68" w:rsidRDefault="00FA2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E5"/>
    <w:rsid w:val="00367CB9"/>
    <w:rsid w:val="004F0223"/>
    <w:rsid w:val="007F6422"/>
    <w:rsid w:val="00905F83"/>
    <w:rsid w:val="00BF1579"/>
    <w:rsid w:val="00C33F25"/>
    <w:rsid w:val="00C7012C"/>
    <w:rsid w:val="00CC1590"/>
    <w:rsid w:val="00D477AE"/>
    <w:rsid w:val="00DA0BE5"/>
    <w:rsid w:val="00FA2B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1C858-0932-49D7-B418-C7AA1946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E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B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2B68"/>
    <w:rPr>
      <w:rFonts w:ascii="Calibri" w:eastAsia="Calibri" w:hAnsi="Calibri" w:cs="Times New Roman"/>
      <w:lang w:val="en-US"/>
    </w:rPr>
  </w:style>
  <w:style w:type="paragraph" w:styleId="Footer">
    <w:name w:val="footer"/>
    <w:basedOn w:val="Normal"/>
    <w:link w:val="FooterChar"/>
    <w:uiPriority w:val="99"/>
    <w:unhideWhenUsed/>
    <w:rsid w:val="00FA2B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2B6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TatiCu</dc:creator>
  <cp:keywords/>
  <dc:description/>
  <cp:lastModifiedBy>TatiCu</cp:lastModifiedBy>
  <cp:revision>2</cp:revision>
  <dcterms:created xsi:type="dcterms:W3CDTF">2014-09-17T05:39:00Z</dcterms:created>
  <dcterms:modified xsi:type="dcterms:W3CDTF">2014-09-17T05:39:00Z</dcterms:modified>
</cp:coreProperties>
</file>