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Partea SPECIALĂ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1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persoanei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1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vieții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188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Uciderea unei persoane se pedepsește cu închisoarea de la 10 la 20 de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Tentativa se pedepsește.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189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Omorul săvârșit în vreuna dintre următoarele împrejurări: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cu premeditare;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din interes material;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pentru a se sustrage ori pentru a sustrage pe altul de la tragerea la răspundere penală sau de la executarea unei pedepse;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pentru a înlesni sau a ascunde săvârșirea altei infracțiuni;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de către o persoană care a mai comis anterior o infracțiune de omor sau o tentativă la infracțiunea de omor;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asupra a două sau mai multor persoane;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g. </w:t>
      </w:r>
      <w:r w:rsidRPr="00687518">
        <w:rPr>
          <w:rFonts w:cs="Calibri"/>
          <w:lang w:val="ro-RO" w:eastAsia="ro-RO"/>
        </w:rPr>
        <w:t xml:space="preserve">asupra unei femei gravide;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h. </w:t>
      </w:r>
      <w:r w:rsidRPr="00687518">
        <w:rPr>
          <w:rFonts w:cs="Calibri"/>
          <w:lang w:val="ro-RO" w:eastAsia="ro-RO"/>
        </w:rPr>
        <w:t xml:space="preserve">prin cruzimi, se pedepsește cu detențiune pe viață sau închisoare de la 15 la 25 de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Tentativa se pedepsește.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190 - </w:t>
      </w:r>
      <w:r w:rsidRPr="00687518">
        <w:rPr>
          <w:rFonts w:cs="Calibri"/>
          <w:lang w:val="ro-RO" w:eastAsia="ro-RO"/>
        </w:rPr>
        <w:t xml:space="preserve">Uciderea săvârșită la cererea explicită, serioasă, conștientă și repetată a victimei care suferea de o boală incurabilă sau de o infirmitate gravă atestată medical, cauzatoare de suferințe permanente și greu de suportat, se pedepsește cu închisoarea de la unu la 5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191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de a determina sau înlesni sinuciderea unei persoane, dacă sinuciderea a avut loc, se pedepsește cu închisoarea de la 3 la 7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fapta prevăzută în alin. (1) s-a săvârșit față de un minor cu vârsta cuprinsă între 13 și 18 ani sau față de o persoană cu discernământ diminuat, pedeapsa este închisoarea de la 5 la 10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Determinarea sau înlesnirea sinuciderii, săvârșită față de un minor care nu a împlinit vârsta de 13 ani sau față de o persoană care nu a putut să-și dea seama de consecințele acțiunilor sau inacțiunilor sale ori nu putea să le controleze, dacă sinuciderea a avut loc, se pedepsește cu închisoarea de la 10 la 20 de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Dacă actele de determinare sau înlesnire prevăzute în alin. (1)-(3) au fost urmate de o încercare de sinucidere, limitele speciale ale pedepsei se reduc la jumătate.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192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Uciderea din culpă a unei persoane se pedepsește cu închisoarea de la unu la 5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Uciderea din culpă ca urmare a nerespectării dispozițiilor legale ori a măsurilor de prevedere pentru exercițiul unei profesii sau meserii ori pentru efectuarea unei anumite activități se pedepsește cu închisoarea de la 2 la 7 ani. Când încălcarea dispozițiilor legale ori a măsurilor de prevedere constituie prin ea însăși o infracțiune se aplică regulile privind concursul de infracțiuni.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prin fapta săvârșită s-a cauzat moartea a două sau mai multor persoane, limitele speciale ale pedepsei prevăzute în alin. (1) și alin. (2) se majorează cu jumătate. </w:t>
      </w:r>
    </w:p>
    <w:p w:rsidR="00794FE2" w:rsidRPr="00687518" w:rsidRDefault="00794FE2" w:rsidP="00794FE2">
      <w:pPr>
        <w:autoSpaceDE w:val="0"/>
        <w:autoSpaceDN w:val="0"/>
        <w:adjustRightInd w:val="0"/>
        <w:spacing w:after="0" w:line="240" w:lineRule="auto"/>
        <w:rPr>
          <w:rFonts w:cs="Calibri"/>
          <w:b/>
          <w:bCs/>
          <w:lang w:val="ro-RO" w:eastAsia="ro-RO"/>
        </w:rPr>
      </w:pP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integrității corporale sau sănătății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193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Lovirea sau orice acte de violență cauzatoare de suferințe fizice se pedepsesc cu închisoare de la 3 luni la 2 ani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(2) - </w:t>
      </w:r>
      <w:r w:rsidRPr="00687518">
        <w:rPr>
          <w:rFonts w:cs="Calibri"/>
          <w:lang w:val="ro-RO" w:eastAsia="ro-RO"/>
        </w:rPr>
        <w:t xml:space="preserve">Fapta prin care se produc leziuni traumatice sau este afectată sănătatea unei persoane, a cărei gravitate este evaluată prin zile de îngrijiri medicale de cel mult 90 de zile, se pedepsește cu închisoare de la 6 luni la 5 ani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Acțiunea penală se pune în mișcare la plângerea prealabilă a persoanei vătămate.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194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prevăzută în art. 193, care a cauzat vreuna dintre următoarele consecințe: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o infirmitate;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leziuni traumatice sau afectarea sănătății unei persoane, care au necesitat, pentru vindecare, mai mult de 90 de zile de îngrijiri medicale;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un prejudiciu estetic grav și permanent;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avortul;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punerea în primejdie a vieții persoanei, se pedepsește cu închisoarea de la 2 la 7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fapta a fost săvârșită în scopul producerii uneia dintre consecințele prevăzute în alin. (1) lit. a), lit. b) și lit. c), pedeapsa este închisoarea de la 3 la 10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Tentativa la infracțiunea prevăzută în alin. (2) se pedepsește.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195 - </w:t>
      </w:r>
      <w:r w:rsidRPr="00687518">
        <w:rPr>
          <w:rFonts w:cs="Calibri"/>
          <w:lang w:val="ro-RO" w:eastAsia="ro-RO"/>
        </w:rPr>
        <w:t xml:space="preserve">Dacă vreuna dintre faptele prevăzute în art. 193 și art. 194 a avut ca urmare moartea victimei, pedeapsa este închisoarea de la 6 la 12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196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prevăzută în art. 193 alin. (2) săvârșită din culpă de către o persoană aflată sub influența băuturilor alcoolice ori a unei substanțe psihoactive sau în desfășurarea unei activități ce constituie prin ea însăși infracțiune se pedepsește cu închisoare de la 3 luni la un an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Fapta prevăzută în art. 194 alin. (1) săvârșită din culpă se pedepsește cu închisoare de la 6 luni la 2 ani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Când fapta prevăzută în alin. (2) a fost săvârșită ca urmare a nerespectării dispozițiilor legale sau a măsurilor de prevedere pentru exercițiul unei profesii sau meserii ori pentru efectuarea unei anumite activități, pedeapsa este închisoarea de la 6 luni la 3 ani sau amenda.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Dacă urmările prevăzute în alin. (1)-(3) s-au produs față de două sau mai multe persoane, limitele speciale ale pedepsei se majorează cu o treime.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Dacă nerespectarea dispozițiilor legale ori a măsurilor de prevedere sau desfășurarea activității care a condus la comiterea faptelor prevăzute în alin. (1) și alin. (3) constituie prin ea însăși o infracțiune se aplică regulile privind concursul de infracțiuni.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Acțiunea penală se pune în mișcare la plângerea prealabilă a persoanei vătămate.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197 - </w:t>
      </w:r>
      <w:r w:rsidRPr="00687518">
        <w:rPr>
          <w:rFonts w:cs="Calibri"/>
          <w:lang w:val="ro-RO" w:eastAsia="ro-RO"/>
        </w:rPr>
        <w:t xml:space="preserve">Punerea în primejdie gravă, prin măsuri sau tratamente de orice fel, a dezvoltării fizice, intelectuale sau morale a minorului, de către părinți sau de orice persoană în grija căreia se află minorul, se pedepsește cu închisoarea de la 3 la 7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198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Participarea la o încăierare între mai multe persoane se pedepsește cu închisoare de la 3 luni la un an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în cursul încăierării s-a cauzat o vătămare corporală uneia sau mai multor persoane și nu se cunoaște care dintre participanți a produs urmările, se aplică tuturor pedeapsa închisorii de la unu la 5 ani, cu excepția victimei, care răspunde potrivit alin. (1).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Când prin fapta săvârșită în condițiile alin. (2) s-a cauzat moartea unei persoane, pedeapsa este închisoarea de la 6 la 12 ani, iar dacă s-a cauzat moartea a două sau mai multor persoane, limitele speciale ale pedepsei se majorează cu o treime.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Nu se pedepsește cel care a fost prins în încăierare împotriva voinței sale sau care a încercat să-i despartă pe alții. </w:t>
      </w:r>
    </w:p>
    <w:p w:rsidR="00794FE2" w:rsidRPr="00687518" w:rsidRDefault="00794FE2" w:rsidP="00794FE2">
      <w:pPr>
        <w:autoSpaceDE w:val="0"/>
        <w:autoSpaceDN w:val="0"/>
        <w:adjustRightInd w:val="0"/>
        <w:spacing w:after="0" w:line="240" w:lineRule="auto"/>
        <w:rPr>
          <w:rFonts w:cs="Calibri"/>
          <w:b/>
          <w:bCs/>
          <w:lang w:val="ro-RO" w:eastAsia="ro-RO"/>
        </w:rPr>
      </w:pP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3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săvârșite asupra unui membru de familie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199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faptele prevăzute în art. 188, art. 189 și art. 193-195 sunt săvârșite asupra unui membru de familie, maximul special al pedepsei prevăzute de lege se majorează cu o pătrime.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(2) - </w:t>
      </w:r>
      <w:r w:rsidRPr="00687518">
        <w:rPr>
          <w:rFonts w:cs="Calibri"/>
          <w:lang w:val="ro-RO" w:eastAsia="ro-RO"/>
        </w:rPr>
        <w:t xml:space="preserve">În cazul infracțiunilor prevăzute în art. 193 și art. 196 săvârșite asupra unui membru de familie, acțiunea penală poate fi pusă în mișcare și din oficiu. Împăcarea înlătură răspunderea penală.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200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Uciderea copilului nou-născut imediat după naștere, dar nu mai târziu de 24 de ore, săvârșită de către mama aflată în stare de tulburare psihică se pedepsește cu închisoarea de la unu la 5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faptele prevăzute în art. 193-195 sunt săvârșite asupra copilului nou-născut imediat după naștere, dar nu mai târziu de 24 de ore, de către mama aflată în stare de tulburare psihică, limitele speciale ale pedepsei sunt de o lună și, respectiv, 3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4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Agresiuni asupra fătului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201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Întreruperea cursului sarcinii săvârșită în vreuna dintre următoarele împrejurări: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în afara instituțiilor medicale sau a cabinetelor medicale autorizate în acest scop;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de către o persoană care nu are calitatea de medic de specialitate obstetrică-ginecologie și drept de liberă practică medicală în această specialitate;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dacă vârsta sarcinii a depășit paisprezece săptămâni, se pedepsește cu închisoare de la 6 luni la 3 ani sau cu amendă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Întreruperea cursului sarcinii, săvârșită în orice condiții, fără consimțământul femeii însărcinate, se pedepsește cu închisoarea de la 2 la 7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prin faptele prevăzute în alin. (1) și alin. (2) s-a cauzat femeii însărcinate o vătămare corporală, pedeapsa este închisoarea de la 3 la 10 ani și interzicerea exercitării unor drepturi, iar dacă fapta a avut ca urmare moartea femeii însărcinate, pedeapsa este închisoarea de la 6 la 12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Când faptele au fost săvârșite de un medic, pe lângă pedeapsa închisorii, se va aplica și interzicerea exercitării profesiei de medic.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Tentativa la infracțiunile prevăzute în alin. (1) și alin. (2) se pedepsește.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Nu constituie infracțiune întreruperea cursului sarcinii în scop terapeutic efectuată de un medic de specialitate obstetrică-ginecologie, până la vârsta sarcinii de douăzeci și patru de săptămâni, sau întreruperea ulterioară a cursului sarcinii, în scop terapeutic, în interesul mamei sau al fătului.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(7) - </w:t>
      </w:r>
      <w:r w:rsidRPr="00687518">
        <w:rPr>
          <w:rFonts w:cs="Calibri"/>
          <w:lang w:val="ro-RO" w:eastAsia="ro-RO"/>
        </w:rPr>
        <w:t xml:space="preserve">Nu se pedepsește femeia însărcinată care își întrerupe cursul sarcinii.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202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Vătămarea fătului, în timpul nașterii, care a împiedicat instalarea vieții extrauterine se pedepsește cu închisoarea de la 3 la 7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Vătămarea fătului, în timpul nașterii, care a cauzat ulterior copilului o vătămare corporală, se pedepsește cu închisoarea de la unu la 5 ani, iar dacă a avut ca urmare moartea copilului pedeapsa este închisoarea de la 2 la 7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Vătămarea fătului în timpul sarcinii, prin care s-a cauzat ulterior copilului o vătămare corporală, se pedepsește cu închisoarea de la 3 luni la 2 ani, iar dacă a avut ca urmare moartea copilului pedeapsa este închisoarea de la 6 luni la 3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Vătămarea fătului săvârșită în timpul nașterii de către mama aflată în stare de tulburare psihică se sancționează cu pedeapsa prevăzută în alin. (1) și alin. (2), ale cărei limite se reduc la jumătate.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Dacă faptele prevăzute în alin. (1)-(4) au fost săvârșite din culpă, limitele speciale ale pedepsei se reduc la jumătate.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Nu constituie infracțiune faptele prevăzute în alin. (1)-(3) săvârșite de un medic sau de persoana autorizată să asiste nașterea sau să urmărească sarcina, dacă acestea au fost săvârșite în cursul actului medical, cu respectarea prevederilor specifice profesiei și au fost făcute în interesul femeii gravide sau al fătului, ca urmare a riscului inerent exercitării actului medical.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(7) - </w:t>
      </w:r>
      <w:r w:rsidRPr="00687518">
        <w:rPr>
          <w:rFonts w:cs="Calibri"/>
          <w:lang w:val="ro-RO" w:eastAsia="ro-RO"/>
        </w:rPr>
        <w:t xml:space="preserve">Vătămarea fătului în perioada sarcinii de către femeia însărcinată nu se pedepsește. </w:t>
      </w:r>
    </w:p>
    <w:p w:rsidR="00794FE2" w:rsidRPr="00687518" w:rsidRDefault="00794FE2" w:rsidP="00794FE2">
      <w:pPr>
        <w:autoSpaceDE w:val="0"/>
        <w:autoSpaceDN w:val="0"/>
        <w:adjustRightInd w:val="0"/>
        <w:spacing w:after="0" w:line="240" w:lineRule="auto"/>
        <w:rPr>
          <w:rFonts w:cs="Calibri"/>
          <w:b/>
          <w:bCs/>
          <w:lang w:val="ro-RO" w:eastAsia="ro-RO"/>
        </w:rPr>
      </w:pP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5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privind obligația de asistență a celor în primejdie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203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(1) - </w:t>
      </w:r>
      <w:r w:rsidRPr="00687518">
        <w:rPr>
          <w:rFonts w:cs="Calibri"/>
          <w:lang w:val="ro-RO" w:eastAsia="ro-RO"/>
        </w:rPr>
        <w:t xml:space="preserve">Omisiunea de a da ajutorul necesar sau de a anunța de îndată autoritățile de către cel care a găsit o persoană a cărei viață, integritate corporală sau sănătate este în pericol și nu are putința de a se salva se pedepsește cu închisoare de la 3 luni la un an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Fapta nu constituie infracțiune dacă, prin acordarea ajutorului, autorul s-ar expune unui pericol grav cu privire la viața, integritatea corporală sau sănătatea sa.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204 - </w:t>
      </w:r>
      <w:r w:rsidRPr="00687518">
        <w:rPr>
          <w:rFonts w:cs="Calibri"/>
          <w:lang w:val="ro-RO" w:eastAsia="ro-RO"/>
        </w:rPr>
        <w:t xml:space="preserve">Împiedicarea intervenției ajutoarelor pentru salvarea unei persoane de la un pericol iminent și grav pentru viața, integritatea corporală sau sănătatea acesteia se pedepsește cu închisoare de la unu la 3 ani sau cu amendă. </w:t>
      </w:r>
    </w:p>
    <w:p w:rsidR="00794FE2" w:rsidRPr="00687518" w:rsidRDefault="00794FE2" w:rsidP="00794FE2">
      <w:pPr>
        <w:autoSpaceDE w:val="0"/>
        <w:autoSpaceDN w:val="0"/>
        <w:adjustRightInd w:val="0"/>
        <w:spacing w:after="0" w:line="240" w:lineRule="auto"/>
        <w:rPr>
          <w:rFonts w:cs="Calibri"/>
          <w:b/>
          <w:bCs/>
          <w:lang w:val="ro-RO" w:eastAsia="ro-RO"/>
        </w:rPr>
      </w:pP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6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libertății persoanei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205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Lipsirea de libertate a unei persoane în mod ilegal se pedepsește cu închisoarea de la unu la 7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Se consideră lipsire de libertate și răpirea unei persoane aflate în imposibilitatea de a-și exprima voința ori de a se apăra.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fapta este săvârșită: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de către o persoană înarmată;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asupra unui minor;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punând în pericol sănătatea sau viața victimei, pedeapsa este închisoarea cuprinsă între 3 și 10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Dacă fapta a avut ca urmare moartea victimei, pedeapsa este închisoarea de la 7 la 15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Tentativa la infracțiunile prevăzute în alin. (1)-(3) se pedepsește.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206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Fapta de a amenința o persoană cu săvârșirea unei infracțiuni sau a unei fapte păgubitoare îndreptate împotriva sa ori a altei persoane, dacă este de natură să îi producă o stare de temere, se pedepsește cu închisoare de la 3 luni la un</w:t>
      </w:r>
      <w:r w:rsidR="00195D7F">
        <w:rPr>
          <w:rFonts w:cs="Calibri"/>
          <w:lang w:val="ro-RO" w:eastAsia="ro-RO"/>
        </w:rPr>
        <w:t xml:space="preserve"> </w:t>
      </w:r>
      <w:bookmarkStart w:id="0" w:name="_GoBack"/>
      <w:bookmarkEnd w:id="0"/>
      <w:r w:rsidRPr="00687518">
        <w:rPr>
          <w:rFonts w:cs="Calibri"/>
          <w:lang w:val="ro-RO" w:eastAsia="ro-RO"/>
        </w:rPr>
        <w:t xml:space="preserve">an sau cu amendă, fără ca pedeapsa aplicată să poată depăși sancțiunea prevăzută de lege pentru infracțiunea care a format obiectul amenințării.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Acțiunea penală se pune în mișcare la plângerea prealabilă a persoanei vătămate.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207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Constrângerea unei persoane să dea, să facă, să nu facă sau să sufere ceva, în scopul de a dobândi în mod injust un folos nepatrimonial, pentru sine ori pentru altul, se pedepsește cu închisoarea de la unu la 5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amenințarea cu darea în vileag a unei fapte reale sau imaginare, compromițătoare pentru persoana amenințată ori pentru un membru de familie al acesteia, în scopul prevăzut în alin. (1).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faptele prevăzute în alin. (1) și alin. (2) au fost comise în scopul de a dobândi în mod injust un folos patrimonial, pentru sine sau pentru altul, pedeapsa este închisoarea de la 2 la 7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208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celui care, în mod repetat, urmărește, fără drept sau fără un interes legitim, o persoană ori îi supraveghează locuința, locul de muncă sau alte locuri frecventate de către aceasta, cauzându-i astfel o stare de temere, se pedepsește cu închisoare de la 3 la 6 luni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Efectuarea de apeluri telefonice sau comunicări prin mijloace de transmitere la distanță, care, prin frecvență sau conținut, îi cauzează o temere unei persoane, se pedepsește cu închisoare de la o lună la 3 luni sau cu amendă, dacă fapta nu constituie o infracțiune mai gravă.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Acțiunea penală se pune în mișcare la plângerea prealabilă a persoanei vătămate. </w:t>
      </w:r>
    </w:p>
    <w:p w:rsidR="00794FE2" w:rsidRPr="00687518" w:rsidRDefault="00794FE2" w:rsidP="00794FE2">
      <w:pPr>
        <w:autoSpaceDE w:val="0"/>
        <w:autoSpaceDN w:val="0"/>
        <w:adjustRightInd w:val="0"/>
        <w:spacing w:after="0" w:line="240" w:lineRule="auto"/>
        <w:rPr>
          <w:rFonts w:cs="Calibri"/>
          <w:b/>
          <w:bCs/>
          <w:lang w:val="ro-RO" w:eastAsia="ro-RO"/>
        </w:rPr>
      </w:pP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7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Traficul și exploatarea persoanelor vulnerabile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209 - </w:t>
      </w:r>
      <w:r w:rsidRPr="00687518">
        <w:rPr>
          <w:rFonts w:cs="Calibri"/>
          <w:lang w:val="ro-RO" w:eastAsia="ro-RO"/>
        </w:rPr>
        <w:t xml:space="preserve">Punerea sau ținerea unei persoane în stare de sclavie, precum și traficul de sclavi se pedepsesc cu închisoarea de la 3 la 10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210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(1) - </w:t>
      </w:r>
      <w:r w:rsidRPr="00687518">
        <w:rPr>
          <w:rFonts w:cs="Calibri"/>
          <w:lang w:val="ro-RO" w:eastAsia="ro-RO"/>
        </w:rPr>
        <w:t xml:space="preserve">Recrutarea, transportarea, transferarea, adăpostirea sau primirea unei persoane în scopul exploatării acesteia, săvârșită: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prin constrângere, răpire, inducere în eroare sau abuz de autoritate;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profitând de imposibilitatea de a se apăra sau de a-și exprima voința ori de starea de vădită vulnerabilitate a acelei persoane;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prin oferirea, darea, acceptarea sau primirea de bani ori de alte foloase în schimbul consimțământului persoanei care are autoritate asupra acelei persoane, se pedepsește cu închisoare de la 3 la 10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Traficul de persoane săvârșit de un funcționar public în exercițiul atribuțiilor de serviciu se pedepsește cu închisoare de la 5 la 12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Consimțământul persoanei victimă a traficului nu constituie cauză justificativă.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211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Recrutarea, transportarea, transferarea, adăpostirea sau primirea unui minor, în scopul exploatării acestuia, se pedepsește cu închisoarea de la 3 la 10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a fost săvârșită în condițiile art. 210 alin. (1) sau de către un funcționar public în exercițiul atribuțiilor de serviciu, pedeapsa este închisoarea de la 5 la 12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Consimțământul persoanei victimă a traficului nu constituie cauză justificativă.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212 - </w:t>
      </w:r>
      <w:r w:rsidRPr="00687518">
        <w:rPr>
          <w:rFonts w:cs="Calibri"/>
          <w:lang w:val="ro-RO" w:eastAsia="ro-RO"/>
        </w:rPr>
        <w:t xml:space="preserve">Fapta de a supune o persoană, în alte cazuri decât cele prevăzute de dispozițiile legale, la prestarea unei munci împotriva voinței sale sau la o muncă obligatorie se pedepsește cu închisoarea de la unu la 3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213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Determinarea sau înlesnirea practicării prostituției ori obținerea de foloase patrimoniale de pe urma practicării prostituției de către una sau mai multe persoane se pedepsește cu închisoarea de la 2 la 7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în care determinarea la începerea sau continuarea practicării prostituției s-a realizat prin constrângere, pedeapsa este închisoarea de la 3 la 10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faptele sunt săvârșite față de un minor, limitele speciale ale pedepsei se majorează cu jumătate.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Prin practicarea prostituției se înțelege întreținerea de acte sexuale cu diferite persoane în scopul obținerii de foloase patrimoniale pentru sine sau pentru altul.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214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persoanei care determină un minor sau o persoană cu dizabilități fizice ori psihice să apeleze în mod repetat la mila publicului pentru a cere ajutor material sau beneficiază de foloase patrimoniale de pe urma acestei activități se pedepsește cu închisoare de la 6 luni la 3 ani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este săvârșită în următoarele împrejurări: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de părinte, tutore, curator ori de către cel care are în îngrijire persoana care cerșește;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prin constrângere, pedeapsa este închisoarea de la unu la 5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215 - </w:t>
      </w:r>
      <w:r w:rsidRPr="00687518">
        <w:rPr>
          <w:rFonts w:cs="Calibri"/>
          <w:lang w:val="ro-RO" w:eastAsia="ro-RO"/>
        </w:rPr>
        <w:t xml:space="preserve">Fapta majorului care, având capacitatea de a munci, apelează în mod repetat la mila publicului, cerând ajutor material, folosindu-se în acest scop de prezența unui minor, se pedepsește cu închisoare de la 3 luni la 2 ani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216 - </w:t>
      </w:r>
      <w:r w:rsidRPr="00687518">
        <w:rPr>
          <w:rFonts w:cs="Calibri"/>
          <w:lang w:val="ro-RO" w:eastAsia="ro-RO"/>
        </w:rPr>
        <w:t xml:space="preserve">Fapta de a utiliza serviciile prevăzute în art. 182, prestate de o persoană despre care beneficiarul știe că este victimă a traficului de persoane ori a traficului de minori, se pedepsește cu închisoare de la 6 luni la 3 ani sau cu amendă, dacă fapta nu constituie o infracțiune mai gravă.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217 - </w:t>
      </w:r>
      <w:r w:rsidRPr="00687518">
        <w:rPr>
          <w:rFonts w:cs="Calibri"/>
          <w:lang w:val="ro-RO" w:eastAsia="ro-RO"/>
        </w:rPr>
        <w:t xml:space="preserve">Tentativa la infracțiunile prevăzute în art. 209-211 și art. 213 alin. (2) se pedepsește. </w:t>
      </w:r>
    </w:p>
    <w:p w:rsidR="00794FE2" w:rsidRPr="00687518" w:rsidRDefault="00794FE2" w:rsidP="00794FE2">
      <w:pPr>
        <w:autoSpaceDE w:val="0"/>
        <w:autoSpaceDN w:val="0"/>
        <w:adjustRightInd w:val="0"/>
        <w:spacing w:after="0" w:line="240" w:lineRule="auto"/>
        <w:rPr>
          <w:rFonts w:cs="Calibri"/>
          <w:lang w:val="ro-RO" w:eastAsia="ro-RO"/>
        </w:rPr>
      </w:pP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8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libertății și integrității sexuale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218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(1) - </w:t>
      </w:r>
      <w:r w:rsidRPr="00687518">
        <w:rPr>
          <w:rFonts w:cs="Calibri"/>
          <w:lang w:val="ro-RO" w:eastAsia="ro-RO"/>
        </w:rPr>
        <w:t xml:space="preserve">Raportul sexual, actul sexual oral sau anal cu o persoană, săvârșit prin constrângere, punere în imposibilitate de a se apăra ori de a-și exprima voința sau profitând de această stare, se pedepsește cu închisoarea de la 3 la 10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orice alte acte de penetrare vaginală sau anală comise în condițiile alin. (1).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Pedeapsa este închisoarea de la 5 la 12 ani și interzicerea exercitării unor drepturi atunci când: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victima se află în îngrijirea, ocrotirea, educarea, paza sau tratamentul făptuitorului;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victima este rudă în linie directă, frate sau soră;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victima nu a împlinit vârsta de 16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fapta a fost comisă în scopul producerii de materiale pornografice;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fapta a avut ca urmare vătămarea corporală;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fapta a fost săvârșită de două sau mai multe persoane împreună.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Dacă fapta a avut ca urmare moartea victimei, pedeapsa este închisoarea de la 7 la 18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Acțiunea penală pentru fapta prevăzută în alin. (1) și alin. (2) se pune în mișcare la plângerea prealabilă a persoanei vătămate.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Tentativa la infracțiunile prevăzute în alin. (1)-(3) se pedepsește.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219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Actul de natură sexuală, altul decât cele prevăzute în art. 218, cu o persoană, săvârșit prin constrângere, punere în imposibilitate de a se apăra sau de a-și exprima voința ori profitând de această stare, se pedepsește cu închisoarea de la 2 la 7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Pedeapsa este închisoarea de la 3 la 10 ani și interzicerea exercitării unor drepturi atunci când: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victima se află în îngrijirea, ocrotirea, educarea, paza sau tratamentul făptuitorului;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victima este rudă în linie directă, frate sau soră;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victima nu a împlinit vârsta de 16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fapta a fost comisă în scopul producerii de materiale pornografice;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fapta a avut ca urmare vătămarea corporală;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fapta a fost săvârșită de două sau mai multe persoane împreună.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fapta a avut ca urmare moartea victimei, pedeapsa este închisoarea de la 7 la 15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Dacă actele de agresiune sexuală au fost precedate sau urmate de săvârșirea actelor sexuale prevăzute în art. 218 alin. (1) și alin. (2), fapta constituie viol.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Acțiunea penală pentru fapta prevăzută în alin. (1) se pune în mișcare la plângerea prealabilă a persoanei vătămate.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Tentativa la infracțiunile prevăzute în alin. (1) și alin. (2) se pedepsește.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220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Raportul sexual, actul sexual oral sau anal, precum și orice alte acte de penetrare vaginală sau anală comise cu un minor cu vârsta între 13 și 15 ani se pedepsesc cu închisoarea de la unu la 5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Fapta prevăzută în alin. (1), săvârșită asupra unui minor care nu a împlinit vârsta de 13 ani, se pedepsește cu închisoarea de la 2 la 7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Fapta prevăzută în alin. (1), comisă de un major cu un minor cu vârsta între 13 și 18 ani, când majorul a abuzat de autoritatea ori influența sa asupra victimei, se pedepsește cu închisoarea de la 2 la 7 ani și interzicerea exercitării unor drepturi.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Fapta prevăzută în alin. (1)-(3) se sancționează cu închisoarea de la 3 la 10 ani și interzicerea exercitării unor drepturi, atunci când: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minorul este rudă în linie directă, frate sau soră;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minorul se află în îngrijirea, ocrotirea, educarea, paza sau tratamentul făptuitorului;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a fost comisă în scopul producerii de materiale pornografice.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Faptele prevăzute în alin. (1) și alin. (2) nu se sancționează dacă diferența de vârstă nu depășește 3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221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(1) - </w:t>
      </w:r>
      <w:r w:rsidRPr="00687518">
        <w:rPr>
          <w:rFonts w:cs="Calibri"/>
          <w:lang w:val="ro-RO" w:eastAsia="ro-RO"/>
        </w:rPr>
        <w:t xml:space="preserve">Comiterea unui act de natură sexuală, altul decât cel prevăzut în art. 220, împotriva unui minor care nu a împlinit vârsta de 13 ani, precum și determinarea minorului să suporte ori să efectueze un astfel de act se pedepsesc cu închisoarea de la unu la 5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Pedeapsa este închisoarea de la 2 la 7 ani și interzicerea exercitării unor drepturi, atunci când: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minorul este rudă în linie directă, frate sau soră;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minorul se află în îngrijirea, ocrotirea, educarea, paza sau tratamentul făptuitorului;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fapta a fost comisă în scopul producerii de materiale pornografice.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Actul sexual de orice natură săvârșit de un major în prezența unui minor care nu a împlinit vârsta de 13 ani se pedepsește cu închisoare de la 6 luni la 2 ani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Determinarea de către un major a unui minor care nu a împlinit vârsta de 13 ani să asiste la comiterea unor acte cu caracter exhibiționist ori la spectacole sau reprezentații în cadrul cărora se comit acte sexuale de orice natură, precum și punerea la dispoziția acestuia de materiale cu caracter pornografic se pedepsesc cu închisoare de la 3 luni la un an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Faptele prevăzute în alin. (1) nu se sancționează dacă diferența de vârstă nu depășește 3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222 - </w:t>
      </w:r>
      <w:r w:rsidRPr="00687518">
        <w:rPr>
          <w:rFonts w:cs="Calibri"/>
          <w:lang w:val="ro-RO" w:eastAsia="ro-RO"/>
        </w:rPr>
        <w:t xml:space="preserve">Fapta persoanei majore de a-i propune unui minor care nu a împlinit vârsta de 13 ani să se întâlnească, în scopul comiterii unui act dintre cele prevăzute în art. 220 sau art. 221, inclusiv atunci când propunerea a fost făcută prin mijloacele de transmitere la distanță, se pedepsește cu închisoare de la o lună la un an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223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Pretinderea în mod repetat de favoruri de natură sexuală în cadrul unei relații de muncă sau al unei relații similare, dacă prin aceasta victima a fost intimidată sau pusă într-o situație umilitoare, se pedepsește cu închisoare de la 3 luni la un an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Acțiunea penală se pune în mișcare la plângerea prealabilă a persoanei vătămate.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9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ce aduc atingere domiciliului și vieții private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224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Pătrunderea fără drept, în orice mod, într-o locuință, încăpere, dependință sau loc împrejmuit ținând de acestea, fără consimțământul persoanei care le folosește, ori refuzul de a le părăsi la cererea acesteia se pedepsește cu închisoare de la 3 luni la 2 ani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în care fapta este săvârșită de o persoană înarmată, în timpul nopții ori prin folosire de calități mincinoase, pedeapsa este închisoarea de la 6 luni la 3 ani sau amenda.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Acțiunea penală se pune în mișcare la plângerea prealabilă a persoanei vătămate.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225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Pătrunderea fără drept, în orice mod, în oricare dintre sediile unde o persoană juridică sau fizică își desfășoară activitatea profesională ori refuzul de a le părăsi la cererea persoanei îndreptățite se pedepsește cu închisoare de la 3 luni la 2 ani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în care fapta este săvârșită de o persoană înarmată, în timpul nopții ori prin folosire de calități mincinoase, pedeapsa este închisoarea de la 6 luni la 3 ani sau amenda.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Acțiunea penală se pune în mișcare la plângerea prealabilă a persoanei vătămate.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226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Atingerea adusă vieții private, fără drept, prin fotografierea, captarea sau înregistrarea de imagini, ascultarea cu mijloace tehnice sau înregistrarea audio a unei persoane aflate într-o locuință sau încăpere ori dependință ținând de aceasta sau a unei convorbiri private se pedepsește cu închisoare de la o lună la 6 luni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Divulgarea, difuzarea, prezentarea sau transmiterea, fără drept, a sunetelor, convorbirilor ori a imaginilor prevăzute în alin. (1), către o altă persoană sau către public, se pedepsește cu închisoare de la 3 luni la 2 ani sau cu amendă.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Acțiunea penală se pune în mișcare la plângerea prealabilă a persoanei vătămate.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Nu constituie infracțiune fapta săvârșită: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de către cel care a participat la întâlnirea cu persoana vătămată în cadrul căreia au fost surprinse sunetele, convorbirile sau imaginile, dacă justifică un interes legitim;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dacă persoana vătămată a acționat explicit cu intenția de a fi văzută ori auzită de făptuitor;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c. </w:t>
      </w:r>
      <w:r w:rsidRPr="00687518">
        <w:rPr>
          <w:rFonts w:cs="Calibri"/>
          <w:lang w:val="ro-RO" w:eastAsia="ro-RO"/>
        </w:rPr>
        <w:t xml:space="preserve">dacă făptuitorul surprinde săvârșirea unei infracțiuni sau contribuie la dovedirea săvârșirii unei infracțiuni;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dacă surprinde fapte de interes public, care au semnificație pentru viața comunității și a căror divulgare prezintă avantaje publice mai mari decât prejudiciul produs persoanei vătămate.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Plasarea, fără drept, de mijloace tehnice de înregistrare audio sau video, în scopul săvârșirii faptelor prevăzute în alin. (1) și alin. (2), se pedepsește cu închisoarea de la unu la 5 ani.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Art. 227 </w:t>
      </w:r>
    </w:p>
    <w:p w:rsidR="00794FE2" w:rsidRPr="00687518"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Divulgarea, fără drept, a unor date sau informații privind viața privată a unei persoane, de natură să aducă un prejudiciu unei persoane, de către acela care a luat cunoștință despre acestea în virtutea profesiei ori funcției și care are obligația păstrării confidențialității cu privire la aceste date, se pedepsește cu închisoare de la 3 luni la 3 ani sau cu amendă. </w:t>
      </w:r>
    </w:p>
    <w:p w:rsidR="007F6422" w:rsidRPr="00794FE2" w:rsidRDefault="00794FE2" w:rsidP="00794FE2">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Acțiunea penală se pune în mișcare la plângerea prealabilă a persoane</w:t>
      </w:r>
      <w:r>
        <w:rPr>
          <w:rFonts w:cs="Calibri"/>
          <w:lang w:val="ro-RO" w:eastAsia="ro-RO"/>
        </w:rPr>
        <w:t xml:space="preserve">i vătămate. </w:t>
      </w:r>
    </w:p>
    <w:sectPr w:rsidR="007F6422" w:rsidRPr="00794FE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E3B" w:rsidRDefault="00582E3B" w:rsidP="00FA2B68">
      <w:pPr>
        <w:spacing w:after="0" w:line="240" w:lineRule="auto"/>
      </w:pPr>
      <w:r>
        <w:separator/>
      </w:r>
    </w:p>
  </w:endnote>
  <w:endnote w:type="continuationSeparator" w:id="0">
    <w:p w:rsidR="00582E3B" w:rsidRDefault="00582E3B"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E3B" w:rsidRDefault="00582E3B" w:rsidP="00FA2B68">
      <w:pPr>
        <w:spacing w:after="0" w:line="240" w:lineRule="auto"/>
      </w:pPr>
      <w:r>
        <w:separator/>
      </w:r>
    </w:p>
  </w:footnote>
  <w:footnote w:type="continuationSeparator" w:id="0">
    <w:p w:rsidR="00582E3B" w:rsidRDefault="00582E3B"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195D7F">
          <w:rPr>
            <w:b/>
            <w:bCs/>
            <w:noProof/>
          </w:rPr>
          <w:t>8</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195D7F">
          <w:rPr>
            <w:b/>
            <w:bCs/>
            <w:noProof/>
          </w:rPr>
          <w:t>8</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195D7F"/>
    <w:rsid w:val="00367CB9"/>
    <w:rsid w:val="004F0223"/>
    <w:rsid w:val="00582E3B"/>
    <w:rsid w:val="00794FE2"/>
    <w:rsid w:val="007F6422"/>
    <w:rsid w:val="00BF1579"/>
    <w:rsid w:val="00C05DA9"/>
    <w:rsid w:val="00C33F25"/>
    <w:rsid w:val="00C7012C"/>
    <w:rsid w:val="00CC1590"/>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3918</Words>
  <Characters>22730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4</cp:revision>
  <dcterms:created xsi:type="dcterms:W3CDTF">2014-09-17T05:41:00Z</dcterms:created>
  <dcterms:modified xsi:type="dcterms:W3CDTF">2014-09-27T05:36:00Z</dcterms:modified>
</cp:coreProperties>
</file>