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3 </w:t>
      </w:r>
    </w:p>
    <w:p w:rsidR="00787A83" w:rsidRPr="00687518" w:rsidRDefault="00787A83" w:rsidP="00787A83">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Infracțiuni privind autoritatea și frontiera de stat </w:t>
      </w:r>
    </w:p>
    <w:bookmarkEnd w:id="0"/>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autorității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257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Amenințarea săvârșită nemijlocit sau prin mijloace de comunicare directă, lovirea sau alte violențe, vătămarea corporală, lovirile sau vătămările cauzatoare de moarte ori omorul săvârșite împotriva unui funcționar public care îndeplinește o funcție ce implică exercițiul autorității de stat, aflat în exercitarea atribuțiilor de serviciu sau în legătură cu exercitarea acestor atribuții, se sancționează cu pedeapsa prevăzută de lege pentru acea infracțiune, ale cărei limite speciale se majorează cu o treime.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Săvârșirea unei infracțiuni împotriva unui funcționar public care îndeplinește o funcție ce implică exercițiul autorității de stat ori asupra bunurilor acestuia, în scop de intimidare sau de răzbunare, în legătură cu exercitarea atribuțiilor de serviciu, se sancționează cu pedeapsa prevăzută de lege pentru acea infracțiune, ale cărei limite speciale se majorează cu o treime.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Cu aceeași pedeapsă se sancționează faptele comise în condițiile alin. (2), dacă privesc un membru de familie al funcționarului public.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Faptele prevăzute în alin. (1)-(3), comise asupra unui polițist sau jandarm, aflat în exercitarea atribuțiilor de serviciu sau în legătură cu exercitarea acestor atribuții, se sancționează cu pedeapsa prevăzută de lege pentru acea infracțiune, ale cărei limite se majorează cu jumătate. </w:t>
      </w:r>
    </w:p>
    <w:p w:rsidR="00787A83" w:rsidRPr="00687518" w:rsidRDefault="00787A83" w:rsidP="00787A83">
      <w:pPr>
        <w:autoSpaceDE w:val="0"/>
        <w:autoSpaceDN w:val="0"/>
        <w:adjustRightInd w:val="0"/>
        <w:spacing w:after="0" w:line="240" w:lineRule="auto"/>
        <w:rPr>
          <w:rFonts w:cs="Calibri"/>
          <w:b/>
          <w:bCs/>
          <w:lang w:val="ro-RO" w:eastAsia="ro-RO"/>
        </w:rPr>
      </w:pPr>
      <w:r w:rsidRPr="00687518">
        <w:rPr>
          <w:rFonts w:cs="Calibri"/>
          <w:b/>
          <w:bCs/>
          <w:lang w:val="ro-RO" w:eastAsia="ro-RO"/>
        </w:rPr>
        <w:t xml:space="preserve">Art. 258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Folosirea fără drept a unei calități oficiale care implică exercițiul autorității de stat, însoțită sau urmată de îndeplinirea vreunui act legat de acea calitate, se pedepsește cu închisoare de la 6 luni la 3 ani sau cu amendă.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fapta funcționarului public care continuă să exercite o funcție ce implică exercițiul autorității de stat, după ce a pierdut acest drept conform legii.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prevăzute în alin. (1) sau alin. (2) au fost săvârșite de o persoană care poartă, fără drept, uniforme sau semne distinctive ale unei autorități publice, pedeapsa este închisoarea de la unu la 5 ani.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259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Sustragerea ori distrugerea unui înscris care se află în păstrarea ori în deținerea unei persoane dintre cele prevăzute în art. 176 sau art. 175 alin. (2) se pedepsește cu închisoarea de la unu la 5 ani.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este săvârșită de un funcționar public în exercitarea atribuțiilor de serviciu, limitele speciale ale pedepsei se majorează cu o treime.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Tentativa se pedepsește.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260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Înlăturarea ori distrugerea unui sigiliu legal aplicat se pedepsește cu închisoare de la 3 luni la un an sau cu amendă.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a fost săvârșită de custode, pedeapsa este închisoarea de la 6 luni la 2 ani sau amenda.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261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Sustragerea unui bun care este legal sechestrat se pedepsește cu închisoare de la 3 luni la un an sau cu amendă.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a fost săvârșită de custode, pedeapsa este închisoarea de la 6 luni la 2 ani sau amenda.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privind frontiera de stat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262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Intrarea sau ieșirea din țară prin trecerea ilegală a frontierei de stat a României se pedepsește cu închisoare de la 6 luni la 3 ani sau cu amendă.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prevăzută în alin. (1) a fost săvârșită: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a. </w:t>
      </w:r>
      <w:r w:rsidRPr="00687518">
        <w:rPr>
          <w:rFonts w:cs="Calibri"/>
          <w:lang w:val="ro-RO" w:eastAsia="ro-RO"/>
        </w:rPr>
        <w:t xml:space="preserve">în scopul sustragerii de la tragerea la răspundere penală sau de la executarea unei pedepse ori a unei măsuri educative, privative de libertate;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de către un străin declarat indezirabil ori căruia i-a fost interzis în orice mod dreptul de intrare sau de ședere în țară, pedeapsa este închisoarea de la unu la 5 ani.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Tentativa se pedepsește.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Fapta prevăzută în alin. (1), săvârșită de o victimă a traficului de persoane sau de minori, nu se pedepsește.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263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Racolarea, îndrumarea, călăuzirea, transportarea, transferarea sau adăpostirea unei persoane, în scopul trecerii frauduloase a frontierei de stat a României, se pedepsește cu închisoarea de la 2 la 7 ani.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fapta a fost săvârșită: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 scopul de a obține, direct sau indirect, un folos patrimonial;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prin mijloace care pun în pericol viața, integritatea sau sănătatea migrantului;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prin supunerea migrantului la tratamente inumane sau degradante, pedeapsa este închisoarea de la 3 la 10 ani și interzicerea exercitării unor drepturi.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Tentativa se pedepsește.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264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persoanei care facilitează, prin orice mijloace, rămânerea ilegală pe teritoriul României a unei persoane, victimă a unei infracțiuni de trafic de persoane, de minori sau de migranți, care nu are cetățenia română și nici domiciliul în România, se pedepsește cu închisoarea de la unu la 5 ani și interzicerea exercitării unor drepturi. Dacă mijlocul folosit constituie prin el însuși o infracțiune, se aplică regulile privind concursul de infracțiuni.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fapta a fost săvârșită: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 scopul de a obține, direct sau indirect, un folos patrimonial;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de către un funcționar public aflat în exercitarea atribuțiilor de serviciu, pedeapsa este închisoarea de la 2 la 7 ani și interzicerea exercitării unor drepturi. </w:t>
      </w:r>
    </w:p>
    <w:p w:rsidR="00787A83" w:rsidRPr="00687518"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Când faptele prevăzute în alin. (1) și alin. (2) sunt săvârșite cu privire la un alt străin aflat ilegal pe teritoriul României, limitele speciale ale pedepsei se reduc cu o treime. </w:t>
      </w:r>
    </w:p>
    <w:p w:rsidR="007F6422" w:rsidRPr="00787A83" w:rsidRDefault="00787A83" w:rsidP="00787A83">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265 - </w:t>
      </w:r>
      <w:r w:rsidRPr="00687518">
        <w:rPr>
          <w:rFonts w:cs="Calibri"/>
          <w:lang w:val="ro-RO" w:eastAsia="ro-RO"/>
        </w:rPr>
        <w:t xml:space="preserve">Sustragerea de la executarea obligațiilor instituite de autoritățile competente, de către străinul față de care s-a dispus măsura îndepărtării de pe teritoriul României ori a fost dispusă interzicerea dreptului de ședere, se pedepsește cu închisoare de la </w:t>
      </w:r>
      <w:r>
        <w:rPr>
          <w:rFonts w:cs="Calibri"/>
          <w:lang w:val="ro-RO" w:eastAsia="ro-RO"/>
        </w:rPr>
        <w:t xml:space="preserve">3 luni la 2 ani sau cu amendă. </w:t>
      </w:r>
    </w:p>
    <w:sectPr w:rsidR="007F6422" w:rsidRPr="00787A8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955" w:rsidRDefault="00A42955" w:rsidP="00FA2B68">
      <w:pPr>
        <w:spacing w:after="0" w:line="240" w:lineRule="auto"/>
      </w:pPr>
      <w:r>
        <w:separator/>
      </w:r>
    </w:p>
  </w:endnote>
  <w:endnote w:type="continuationSeparator" w:id="0">
    <w:p w:rsidR="00A42955" w:rsidRDefault="00A42955"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955" w:rsidRDefault="00A42955" w:rsidP="00FA2B68">
      <w:pPr>
        <w:spacing w:after="0" w:line="240" w:lineRule="auto"/>
      </w:pPr>
      <w:r>
        <w:separator/>
      </w:r>
    </w:p>
  </w:footnote>
  <w:footnote w:type="continuationSeparator" w:id="0">
    <w:p w:rsidR="00A42955" w:rsidRDefault="00A42955"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787A83">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787A83">
          <w:rPr>
            <w:b/>
            <w:bCs/>
            <w:noProof/>
          </w:rPr>
          <w:t>2</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367CB9"/>
    <w:rsid w:val="004F0223"/>
    <w:rsid w:val="00787A83"/>
    <w:rsid w:val="00794FE2"/>
    <w:rsid w:val="007F6422"/>
    <w:rsid w:val="00A42955"/>
    <w:rsid w:val="00BF1579"/>
    <w:rsid w:val="00C33F25"/>
    <w:rsid w:val="00C7012C"/>
    <w:rsid w:val="00CC1590"/>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2014-09-17T05:43:00Z</dcterms:created>
  <dcterms:modified xsi:type="dcterms:W3CDTF">2014-09-17T05:43:00Z</dcterms:modified>
</cp:coreProperties>
</file>