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5 </w:t>
      </w:r>
    </w:p>
    <w:p w:rsidR="006F6ED6" w:rsidRPr="00687518" w:rsidRDefault="006F6ED6" w:rsidP="006F6ED6">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Infracțiuni de corupție și de serviciu </w:t>
      </w:r>
    </w:p>
    <w:bookmarkEnd w:id="0"/>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6F6ED6" w:rsidRPr="00687518" w:rsidRDefault="006F6ED6" w:rsidP="006F6ED6">
      <w:pPr>
        <w:autoSpaceDE w:val="0"/>
        <w:autoSpaceDN w:val="0"/>
        <w:adjustRightInd w:val="0"/>
        <w:spacing w:after="0" w:line="240" w:lineRule="auto"/>
        <w:rPr>
          <w:rFonts w:cs="Calibri"/>
          <w:b/>
          <w:bCs/>
          <w:lang w:val="ro-RO" w:eastAsia="ro-RO"/>
        </w:rPr>
      </w:pPr>
      <w:r w:rsidRPr="00687518">
        <w:rPr>
          <w:rFonts w:cs="Calibri"/>
          <w:b/>
          <w:bCs/>
          <w:lang w:val="ro-RO" w:eastAsia="ro-RO"/>
        </w:rPr>
        <w:t xml:space="preserve">Infracțiuni de corupție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289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funcționarului public care, direct ori indirect, pentru sine sau pentru altul, pretinde ori primește bani sau alte foloase care nu i se cuvin ori acceptă promisiunea unor astfel de foloase, în legătură cu îndeplinirea, neîndeplinirea, urgentarea ori întârzierea îndeplinirii unui act ce intră în îndatoririle sale de serviciu sau în legătură cu îndeplinirea unui act contrar acestor îndatoriri, se pedepsește cu închisoare de la 3 la 10 ani și interzicerea exercitării dreptului de a ocupa o funcție publică ori de a exercita profesia sau activitatea în executarea căreia a săvârșit fapta.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prevăzută în alin. (1), săvârșită de una dintre persoanele prevăzute în art. 175 alin. (2), constituie infracțiune numai când este comisă în legătură cu neîndeplinirea, întârzierea îndeplinirii unui act privitor la îndatoririle sale legale sau în legătură cu efectuarea unui act contrar acestor îndatoriri.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Banii, valorile sau orice alte bunuri primite sunt supuse confiscării, iar când acestea nu se mai găsesc, se dispune confiscarea prin echivalent.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290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Promisiunea, oferirea sau darea de bani ori alte foloase, în condițiile arătate în art. 289, se pedepsește cu închisoarea de la 2 la 7 ani.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prevăzută în alin. (1) nu constituie infracțiune atunci când mituitorul a fost constrâns prin orice mijloace de către cel care a luat mita.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Mituitorul nu se pedepsește dacă denunță fapta mai înainte ca organul de urmărire penală să fi fost sesizat cu privire la aceasta.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Banii, valorile sau orice alte bunuri date se restituie persoanei care le-a dat, dacă acestea au fost date în cazul prevăzut în alin. (2) sau date după denunțul prevăzut în alin. (3).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Banii, valorile sau orice alte bunuri oferite sau date sunt supuse confiscării, iar când acestea nu se mai găsesc, se dispune confiscarea prin echivalent.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291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Pretinderea, primirea ori acceptarea promisiunii de bani sau alte foloase, direct sau indirect, pentru sine sau pentru altul, săvârșită de către o persoană care are influență sau lasă să se creadă că are influență asupra unui funcționar public și care promite că îl va determina pe acesta să îndeplinească, să nu îndeplinească, să urgenteze ori să întârzie îndeplinirea unui act ce intră în îndatoririle sale de serviciu sau să îndeplinească un act contrar acestor îndatoriri, se pedepsește cu închisoarea de la 2 la 7 ani.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Banii, valorile sau orice alte bunuri primite sunt supuse confiscării, iar când acestea nu se mai găsesc, se dispune confiscarea prin echivalent.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292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Promisiunea, oferirea sau darea de bani ori alte foloase, pentru sine sau pentru altul, direct ori indirect, unei persoane care are influență sau lasă să se creadă că are influență asupra unui funcționar public, pentru a-l determina pe acesta să îndeplinească, să nu îndeplinească, să urgenteze ori să întârzie îndeplinirea unui act ce intră în îndatoririle sale de serviciu sau să îndeplinească un act contrar acestor îndatoriri, se pedepsește cu închisoare de la 2 la 7 ani și interzicerea exercitării unor drepturi.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Făptuitorul nu se pedepsește dacă denunță fapta mai înainte ca organul de urmărire penală să fi fost sesizat cu privire la aceasta.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Banii, valorile sau orice alte bunuri se restituie persoanei care le-a dat, dacă au fost date după denunțul prevăzut în alin. (2).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Banii, valorile sau orice alte bunuri date sau oferite sunt supuse confiscării, iar dacă acestea nu se mai găsesc, se dispune confiscarea prin echivalent.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293 - </w:t>
      </w:r>
      <w:r w:rsidRPr="00687518">
        <w:rPr>
          <w:rFonts w:cs="Calibri"/>
          <w:lang w:val="ro-RO" w:eastAsia="ro-RO"/>
        </w:rPr>
        <w:t xml:space="preserve">Dispozițiile art. 289 și art. 290 se aplică în mod corespunzător și persoanelor care, pe baza unui acord de arbitraj, sunt chemate să pronunțe o hotărâre cu privire la un litigiu ce le este dat spre </w:t>
      </w:r>
      <w:r w:rsidRPr="00687518">
        <w:rPr>
          <w:rFonts w:cs="Calibri"/>
          <w:lang w:val="ro-RO" w:eastAsia="ro-RO"/>
        </w:rPr>
        <w:lastRenderedPageBreak/>
        <w:t xml:space="preserve">soluționare de către părțile la acest acord, indiferent dacă procedura arbitrală se desfășoară în baza legii române ori în baza unei alte legi.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294 - </w:t>
      </w:r>
      <w:r w:rsidRPr="00687518">
        <w:rPr>
          <w:rFonts w:cs="Calibri"/>
          <w:lang w:val="ro-RO" w:eastAsia="ro-RO"/>
        </w:rPr>
        <w:t xml:space="preserve">Prevederile prezentului capitol se aplică în privința următoarelor persoane, dacă, prin tratatele internaționale la care România este parte, nu se dispune altfel: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funcționarilor sau persoanelor care își desfășoară activitatea pe baza unui contract de muncă ori altor persoane care exercită atribuții similare în cadrul unei organizații publice internaționale la care România este parte;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membrilor adunărilor parlamentare ale organizațiilor internaționale la care România este parte;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funcționarilor sau persoanelor care își desfășoară activitatea pe baza unui contract de muncă ori altor persoane care exercită atribuții similare, în cadrul Uniunii Europene;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persoanelor care exercită funcții juridice în cadrul instanțelor internaționale a căror competență este acceptată de România, precum și funcționarilor de la grefele acestor instanțe;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funcționarilor unui stat străin;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membrilor adunărilor parlamentare sau administrative ale unui stat străin.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juraților din cadrul unor instanțe străine. </w:t>
      </w:r>
    </w:p>
    <w:p w:rsidR="006F6ED6" w:rsidRPr="00687518" w:rsidRDefault="006F6ED6" w:rsidP="006F6ED6">
      <w:pPr>
        <w:autoSpaceDE w:val="0"/>
        <w:autoSpaceDN w:val="0"/>
        <w:adjustRightInd w:val="0"/>
        <w:spacing w:after="0" w:line="240" w:lineRule="auto"/>
        <w:rPr>
          <w:rFonts w:cs="Calibri"/>
          <w:b/>
          <w:bCs/>
          <w:lang w:val="ro-RO" w:eastAsia="ro-RO"/>
        </w:rPr>
      </w:pP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de serviciu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295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Însușirea, folosirea sau traficarea de către un funcționar public, în interesul său ori pentru altul, de bani, valori sau alte bunuri pe care le gestionează sau le administrează se pedepsește cu închisoarea de la 2 la 7 ani și interzicerea exercitării dreptului de a ocupa o funcție publică.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296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Întrebuințarea de expresii jignitoare față de o persoană de către cel aflat în exercitarea atribuțiilor de serviciu se pedepsește cu închisoare de la o lună la 6 luni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Amenințarea ori lovirea sau alte violențe săvârșite în condițiile alin. (1) se sancționează cu pedeapsa prevăzută de lege pentru acea infracțiune, ale cărei limite speciale se majorează cu o treime.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297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funcționarului public care, în exercitarea atribuțiilor de serviciu, nu îndeplinește un act sau îl îndeplinește în mod defectuos și prin aceasta cauzează o pagubă ori o vătămare a drepturilor sau intereselor legitime ale unei persoane fizice sau ale unei persoane juridice se pedepsește cu închisoarea de la 2 la 7 ani și interzicerea exercitării dreptului de a ocupa o funcție publică.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fapta funcționarului public care, în exercitarea atribuțiilor de serviciu, îngrădește exercitarea unui drept al unei persoane ori creează pentru aceasta o situație de inferioritate pe temei de rasă, naționalitate, origine etnică, limbă, religie, sex, orientare sexuală, apartenență politică, avere, vârstă, dizabilitate, boală cronică necontagioasă sau infecție HIV/SIDA.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298 - </w:t>
      </w:r>
      <w:r w:rsidRPr="00687518">
        <w:rPr>
          <w:rFonts w:cs="Calibri"/>
          <w:lang w:val="ro-RO" w:eastAsia="ro-RO"/>
        </w:rPr>
        <w:t xml:space="preserve">Încălcarea din culpă de către un funcționar public a unei îndatoriri de serviciu, prin neîndeplinirea acesteia sau prin îndeplinirea ei defectuoasă, dacă prin aceasta se cauzează o pagubă ori o vătămare a drepturilor sau intereselor legitime ale unei persoane fizice sau ale unei persoane juridice, se pedepsește cu închisoare de la 3 luni la 3 ani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299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funcționarului public care, în scopul de a îndeplini, a nu îndeplini, a urgenta ori a întârzia îndeplinirea unui act privitor la îndatoririle sale de serviciu sau în scopul de a face un act contrar acestor îndatoriri, pretinde ori obține favoruri de natură sexuală de la o persoană interesată direct sau indirect de efectele acelui act de serviciu se pedepsește cu închisoarea de la 6 luni la 3 ani și interzicerea exercitării dreptului de a ocupa o funcție publică sau de a exercita profesia ori activitatea în executarea căreia a săvârșit fapta.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Pretinderea sau obținerea de favoruri de natură sexuală de către un funcționar public care se prevalează sau profită de o situație de autoritate ori de superioritate asupra victimei, ce decurge din </w:t>
      </w:r>
      <w:r w:rsidRPr="00687518">
        <w:rPr>
          <w:rFonts w:cs="Calibri"/>
          <w:lang w:val="ro-RO" w:eastAsia="ro-RO"/>
        </w:rPr>
        <w:lastRenderedPageBreak/>
        <w:t xml:space="preserve">funcția deținută, se pedepsește cu închisoare de la 3 luni la 2 ani sau cu amendă și interzicerea exercitării dreptului de a ocupa o funcție publică sau de a exercita profesia sau activitatea în executarea căreia a săvârșit fapta.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300 - </w:t>
      </w:r>
      <w:r w:rsidRPr="00687518">
        <w:rPr>
          <w:rFonts w:cs="Calibri"/>
          <w:lang w:val="ro-RO" w:eastAsia="ro-RO"/>
        </w:rPr>
        <w:t xml:space="preserve">Fapta funcționarului public care, în timpul serviciului, îndeplinește un act ce nu intră în atribuțiile sale, dacă prin aceasta s-a produs una dintre urmările prevăzute în art. 297, se pedepsește cu închisoare de la unu la 5 ani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301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funcționarului public care, în exercitarea atribuțiilor de serviciu, a îndeplinit un act ori a participat la luarea unei decizii prin care s-a obținut, direct sau indirect, un folos patrimonial, pentru sine, pentru soțul său, pentru o rudă ori pentru un afin până la gradul II inclusiv sau pentru o altă persoană cu care s-a aflat în raporturi comerciale ori de muncă în ultimii 5 ani sau din partea căreia a beneficiat ori beneficiază de foloase de orice natură, se pedepsește cu închisoarea de la unu la 5 ani și interzicerea exercitării dreptului de a ocupa o funcție publică.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alin. (1) nu se aplică în cazul emiterii, aprobării sau adoptării actelor normative.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302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Deschiderea, sustragerea, distrugerea sau reținerea, fără drept, a unei corespondențe adresate altuia, precum și divulgarea fără drept a conținutului unei asemenea corespondențe, chiar atunci când aceasta a fost trimisă deschisă ori a fost deschisă din greșeală, se pedepsesc cu închisoare de la 3 luni la un an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Interceptarea, fără drept, a unei convorbiri sau a unei comunicări efectuate prin telefon sau prin orice mijloc electronic de comunicații se pedepsește cu închisoare de la 6 luni la 3 ani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prevăzute în alin. (1) și alin. (2) au fost săvârșite de un funcționar public care are obligația legală de a respecta secretul profesional și confidențialitatea informațiilor la care are acces, pedeapsa este închisoarea de la unu la 5 ani și interzicerea unor drepturi.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Divulgarea, difuzarea, prezentarea sau transmiterea, către o altă persoană sau către public, fără drept, a conținutului unei convorbiri sau comunicări interceptate, chiar în cazul în care făptuitorul a luat cunoștință de aceasta din greșeală sau din întâmplare, se pedepsește cu închisoare de la 3 luni la 2 ani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Nu constituie infracțiune fapta săvârșită: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dacă făptuitorul surprinde săvârșirea unei infracțiuni sau contribuie la dovedirea săvârșirii unei infracțiuni;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dacă surprinde fapte de interes public, care au semnificație pentru viața comunității și a căror divulgare prezintă avantaje publice mai mari decât prejudiciul produs persoanei vătămate.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Deținerea sau confecționarea, fără drept, de mijloace specifice de interceptare ori de înregistrare a comunicațiilor se pedepsește cu închisoare de la 3 luni la 2 ani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Pentru faptele prevăzute la alin. (1), acțiunea penală se pune în mișcare la plângerea prealabilă a persoanei vătămate.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303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Divulgarea, fără drept, a unor informații secrete de stat, de către cel care le cunoaște datorită atribuțiilor de serviciu, dacă prin aceasta sunt afectate interesele unei persoane juridice dintre cele prevăzute în art. 176, se pedepsește cu închisoarea de la 2 la 7 ani și interzicerea exercitării unor drepturi.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Deținerea, fără drept, în afara îndatoririlor de serviciu, a unui document ce conține informații secrete de stat, dacă poate afecta activitatea uneia dintre persoanele juridice prevăzute în art. 176, se pedepsește cu închisoare de la 3 luni la 2 ani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Persoana care deține un document ce conține informații secrete de stat, care poate afecta activitatea uneia dintre persoanele juridice prevăzute în art. 176, nu se pedepsește dacă predă de îndată documentul la organul sau instituția emitentă.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304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Divulgarea, fără drept, a unor informații secrete de serviciu sau care nu sunt destinate publicității, de către cel care le cunoaște datorită atribuțiilor de serviciu, dacă prin aceasta sunt </w:t>
      </w:r>
      <w:r w:rsidRPr="00687518">
        <w:rPr>
          <w:rFonts w:cs="Calibri"/>
          <w:lang w:val="ro-RO" w:eastAsia="ro-RO"/>
        </w:rPr>
        <w:lastRenderedPageBreak/>
        <w:t xml:space="preserve">afectate interesele sau activitatea unei persoane, se pedepsește cu închisoare de la 3 luni la 3 ani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Divulgarea, fără drept, a unor informații secrete de serviciu sau care nu sunt destinate publicității, de către cel care ia cunoștință de acestea, se pedepsește cu închisoare de la o lună la un an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urmare a faptei prevăzute în alin. (1) și alin. (2), s-a săvârșit o infracțiune împotriva investigatorului sub acoperire, a martorului protejat sau a persoanei incluse în Programul de protecție a martorilor, pedeapsa este închisoarea de la 2 la 7 ani, iar dacă s-a comis cu intenție o infracțiune contra vieții, pedeapsa este închisoarea de la 5 la 12 ani.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305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Neglijența care are drept urmare distrugerea, alterarea, pierderea sau sustragerea unui document ce conține informații secrete de stat, precum și neglijența care a prilejuit altei persoane aflarea unei asemenea informații se pedepsesc cu închisoare de la 3 luni la un an sau cu amendă.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faptele prevăzute în art. 303 alin. (1) și art. 304, dacă au fost săvârșite din culpă.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306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Folosirea ori prezentarea de documente sau date false, inexacte ori incomplete, pentru primirea aprobărilor sau garanțiilor necesare acordării finanțărilor obținute sau garantate din fonduri publice, dacă are ca rezultat obținerea pe nedrept a acestor fonduri, se pedepsește cu închisoarea de la 2 la 7 ani.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307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Schimbarea destinației fondurilor bănești ori a resurselor materiale alocate unei autorități publice sau instituții publice, fără respectarea prevederilor legale, se pedepsește cu închisoarea de la unu la 5 ani.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schimbarea, fără respectarea prevederilor legale, a destinației fondurilor provenite din finanțările obținute sau garantate din fonduri publice.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Tentativa se pedepsește.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308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Dispozițiile art. 289—292, 295, 297—301 și 304 privitoare la funcționarii publici se aplică în mod corespunzător și faptelor săvârșite de către sau în legătură cu persoanele care exercită, permanent ori temporar, cu sau fără o remunerație, o însărcinare de orice natură în serviciul unei persoane fizice dintre cele prevăzute la art. 175 alin. (2) ori în cadrul oricărei persoane juridice. </w:t>
      </w:r>
    </w:p>
    <w:p w:rsidR="006F6ED6" w:rsidRPr="00687518" w:rsidRDefault="006F6ED6" w:rsidP="006F6ED6">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acest caz, limitele speciale ale pedepsei se reduc cu o treime. </w:t>
      </w:r>
    </w:p>
    <w:p w:rsidR="007F6422" w:rsidRPr="006F6ED6" w:rsidRDefault="006F6ED6" w:rsidP="006F6ED6">
      <w:r w:rsidRPr="00687518">
        <w:rPr>
          <w:rFonts w:cs="Calibri"/>
          <w:b/>
          <w:bCs/>
          <w:lang w:val="ro-RO" w:eastAsia="ro-RO"/>
        </w:rPr>
        <w:t xml:space="preserve">Art. 309 - </w:t>
      </w:r>
      <w:r w:rsidRPr="00687518">
        <w:rPr>
          <w:rFonts w:cs="Calibri"/>
          <w:lang w:val="ro-RO" w:eastAsia="ro-RO"/>
        </w:rPr>
        <w:t>Dacă faptele prevăzute în art. 295, art. 297, art. 298, art. 300, art. 303, art. 304, art. 306 sau art. 307 au produs consecințe deosebit de grave, limitele speciale ale pedepsei prevăzute de lege se majorează cu jumătate.</w:t>
      </w:r>
    </w:p>
    <w:sectPr w:rsidR="007F6422" w:rsidRPr="006F6ED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B3" w:rsidRDefault="008A57B3" w:rsidP="00FA2B68">
      <w:pPr>
        <w:spacing w:after="0" w:line="240" w:lineRule="auto"/>
      </w:pPr>
      <w:r>
        <w:separator/>
      </w:r>
    </w:p>
  </w:endnote>
  <w:endnote w:type="continuationSeparator" w:id="0">
    <w:p w:rsidR="008A57B3" w:rsidRDefault="008A57B3"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B3" w:rsidRDefault="008A57B3" w:rsidP="00FA2B68">
      <w:pPr>
        <w:spacing w:after="0" w:line="240" w:lineRule="auto"/>
      </w:pPr>
      <w:r>
        <w:separator/>
      </w:r>
    </w:p>
  </w:footnote>
  <w:footnote w:type="continuationSeparator" w:id="0">
    <w:p w:rsidR="008A57B3" w:rsidRDefault="008A57B3"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6F6ED6">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F6ED6">
          <w:rPr>
            <w:b/>
            <w:bCs/>
            <w:noProof/>
          </w:rPr>
          <w:t>4</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263259"/>
    <w:rsid w:val="00367CB9"/>
    <w:rsid w:val="004F0223"/>
    <w:rsid w:val="006F6ED6"/>
    <w:rsid w:val="00787A83"/>
    <w:rsid w:val="00794FE2"/>
    <w:rsid w:val="007F6422"/>
    <w:rsid w:val="008A57B3"/>
    <w:rsid w:val="00BF1579"/>
    <w:rsid w:val="00C33F25"/>
    <w:rsid w:val="00C7012C"/>
    <w:rsid w:val="00CC1590"/>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2141</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2014-09-17T05:45:00Z</dcterms:created>
  <dcterms:modified xsi:type="dcterms:W3CDTF">2014-09-17T05:45:00Z</dcterms:modified>
</cp:coreProperties>
</file>