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Titlu 6 </w:t>
      </w:r>
    </w:p>
    <w:p w:rsidR="002E2D2A" w:rsidRPr="00687518" w:rsidRDefault="002E2D2A" w:rsidP="002E2D2A">
      <w:pPr>
        <w:autoSpaceDE w:val="0"/>
        <w:autoSpaceDN w:val="0"/>
        <w:adjustRightInd w:val="0"/>
        <w:spacing w:after="0" w:line="240" w:lineRule="auto"/>
        <w:rPr>
          <w:rFonts w:cs="Calibri"/>
          <w:lang w:val="ro-RO" w:eastAsia="ro-RO"/>
        </w:rPr>
      </w:pPr>
      <w:bookmarkStart w:id="0" w:name="_GoBack"/>
      <w:r w:rsidRPr="00687518">
        <w:rPr>
          <w:rFonts w:cs="Calibri"/>
          <w:b/>
          <w:bCs/>
          <w:lang w:val="ro-RO" w:eastAsia="ro-RO"/>
        </w:rPr>
        <w:t xml:space="preserve">Infracțiuni de fals </w:t>
      </w:r>
    </w:p>
    <w:bookmarkEnd w:id="0"/>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1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Falsificarea de monede, timbre sau de alte valori Falsificarea de monede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Art. 310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Falsificarea de monedă cu valoare circulatorie se pedepsește cu închisoarea de la 3 la 10 ani și interzicerea exercitării unor drepturi.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falsificarea unei monede, emise de către autoritățile competente, înainte de punerea oficială în circulație a acesteia.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Tentativa se pedepsește.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Art. 311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Falsificarea de titluri de credit, titluri sau instrumente pentru efectuarea plăților sau a oricăror altor titluri ori valori asemănătoare se pedepsește cu închisoarea de la 2 la 7 ani și interzicerea exercitării unor drepturi.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fapta prevăzută în alin. (1) privește un instrument de plată electronică, pedeapsa este închisoarea de la 3 la 10 ani și interzicerea exercitării unor drepturi.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Tentativa se pedepsește.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Art. 312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Falsificarea de timbre de orice fel, mărci poștale, plicuri poștale, cărți poștale sau cupoane răspuns internațional se pedepsește cu închisoare de la 6 luni la 3 ani sau cu amendă.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Tentativa se pedepsește. </w:t>
      </w:r>
    </w:p>
    <w:p w:rsidR="002E2D2A" w:rsidRPr="00687518" w:rsidRDefault="002E2D2A" w:rsidP="002E2D2A">
      <w:pPr>
        <w:autoSpaceDE w:val="0"/>
        <w:autoSpaceDN w:val="0"/>
        <w:adjustRightInd w:val="0"/>
        <w:spacing w:after="0" w:line="240" w:lineRule="auto"/>
        <w:rPr>
          <w:rFonts w:cs="Calibri"/>
          <w:b/>
          <w:bCs/>
          <w:lang w:val="ro-RO" w:eastAsia="ro-RO"/>
        </w:rPr>
      </w:pPr>
      <w:r w:rsidRPr="00687518">
        <w:rPr>
          <w:rFonts w:cs="Calibri"/>
          <w:b/>
          <w:bCs/>
          <w:lang w:val="ro-RO" w:eastAsia="ro-RO"/>
        </w:rPr>
        <w:t xml:space="preserve">Art. 313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Punerea în circulație a valorilor falsificate prevăzute în art. 310-312, precum și primirea, deținerea sau transmiterea acestora, în vederea punerii lor în circulație, se sancționează cu pedeapsa prevăzută de lege pentru infracțiunea de falsificare prin care au fost produse.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Punerea în circulație a valorilor falsificate prevăzute în art. 310-312, săvârșită de către autor sau un participant la infracțiunea de falsificare, se sancționează cu pedeapsa prevăzută de lege pentru infracțiunea de falsificare prin care au fost produse.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Repunerea în circulație a uneia dintre valorile prevăzute în art. 310-312, de către o persoană care a constatat, ulterior intrării în posesia acesteia, că este falsificată, se sancționează cu pedeapsa prevăzută de lege pentru infracțiunea de falsificare prin care au fost produse, ale cărei limite speciale se reduc la jumătate.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Tentativa se pedepsește.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Art. 314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Fabricarea, primirea, deținerea sau transmiterea de instrumente sau materiale cu scopul de a servi la falsificarea valorilor sau titlurilor prevăzute în art. 310, art. 311 alin. (1) și art. 312 se pedepsește cu închisoarea de la unu la 5 ani.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Fabricarea, primirea, deținerea sau transmiterea de echipamente, inclusiv hardware sau software, cu scopul de a servi la falsificarea instrumentelor de plată electronică, se pedepsește cu închisoarea de la 2 la 7 ani.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Nu se pedepsește persoana care, după comiterea vreuneia dintre faptele prevăzute în alin. (1) sau alin. (2), înainte de descoperirea acestora și înainte de a se fi trecut la săvârșirea faptei de falsificare, predă instrumentele sau materialele deținute autorităților judiciare ori încunoștințează aceste autorități despre existența lor.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Art. 315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Confecționarea de monedă autentică prin folosirea de instalații sau materiale destinate acestui scop, cu încălcarea condițiilor stabilite de autoritățile competente sau fără acordul acestora, se pedepsește cu închisoarea de la 2 la 7 ani și interzicerea exercitării unor drepturi.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punerea în circulație a monedei confecționate în condițiile alin. (1), precum și primirea, deținerea sau transmiterea acesteia, în vederea punerii ei în circulație.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Art. 316 - </w:t>
      </w:r>
      <w:r w:rsidRPr="00687518">
        <w:rPr>
          <w:rFonts w:cs="Calibri"/>
          <w:lang w:val="ro-RO" w:eastAsia="ro-RO"/>
        </w:rPr>
        <w:t xml:space="preserve">Dispozițiile cuprinse în prezentul capitol se aplică și în cazul când infracțiunea privește monede, timbre, titluri de valoare ori instrumente de plată emise în străinătate. </w:t>
      </w:r>
    </w:p>
    <w:p w:rsidR="002E2D2A" w:rsidRPr="00687518" w:rsidRDefault="002E2D2A" w:rsidP="002E2D2A">
      <w:pPr>
        <w:autoSpaceDE w:val="0"/>
        <w:autoSpaceDN w:val="0"/>
        <w:adjustRightInd w:val="0"/>
        <w:spacing w:after="0" w:line="240" w:lineRule="auto"/>
        <w:rPr>
          <w:rFonts w:cs="Calibri"/>
          <w:b/>
          <w:bCs/>
          <w:lang w:val="ro-RO" w:eastAsia="ro-RO"/>
        </w:rPr>
      </w:pP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2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Falsificarea instrumentelor de autentificare sau de marcare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Art. 317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Falsificarea unui sigiliu, a unei ștampile sau a unui instrument de marcare de care se folosesc persoanele prevăzute în art. 176 sau persoanele fizice menționate în art. 175 alin. (2) se pedepsește cu închisoare de la 6 luni la 3 ani sau cu amendă.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Falsificarea unui sigiliu, a unei ștampile sau a unui instrument de marcare de care se folosesc alte persoane decât cele prevăzute în alin. (1) se pedepsește cu închisoare de la 3 luni la un an sau cu amendă.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Tentativa se pedepsește.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Art. 318 - </w:t>
      </w:r>
      <w:r w:rsidRPr="00687518">
        <w:rPr>
          <w:rFonts w:cs="Calibri"/>
          <w:lang w:val="ro-RO" w:eastAsia="ro-RO"/>
        </w:rPr>
        <w:t xml:space="preserve">Folosirea instrumentelor false prevăzute în art. 317 se pedepsește cu închisoare de la 3 luni la 3 ani sau cu amendă.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Art. 319 - </w:t>
      </w:r>
      <w:r w:rsidRPr="00687518">
        <w:rPr>
          <w:rFonts w:cs="Calibri"/>
          <w:lang w:val="ro-RO" w:eastAsia="ro-RO"/>
        </w:rPr>
        <w:t xml:space="preserve">Dispozițiile cuprinse în prezentul capitol se aplică și atunci când fapta privește instrumente de autentificare sau de marcare folosite de autoritățile unui stat străin. </w:t>
      </w:r>
    </w:p>
    <w:p w:rsidR="002E2D2A" w:rsidRPr="00687518" w:rsidRDefault="002E2D2A" w:rsidP="002E2D2A">
      <w:pPr>
        <w:autoSpaceDE w:val="0"/>
        <w:autoSpaceDN w:val="0"/>
        <w:adjustRightInd w:val="0"/>
        <w:spacing w:after="0" w:line="240" w:lineRule="auto"/>
        <w:rPr>
          <w:rFonts w:cs="Calibri"/>
          <w:b/>
          <w:bCs/>
          <w:lang w:val="ro-RO" w:eastAsia="ro-RO"/>
        </w:rPr>
      </w:pP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3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Falsuri în înscrisuri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Art. 320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Falsificarea unui înscris oficial, prin contrafacerea scrierii ori a subscrierii sau prin alterarea lui în orice mod, de natură să producă consecințe juridice, se pedepsește cu închisoarea de la 6 luni la 3 ani.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Falsul prevăzut în alin. (1), săvârșit de un funcționar public în exercițiul atribuțiilor de serviciu, se pedepsește cu închisoarea de la unu la 5 ani și interzicerea exercitării unor drepturi.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Sunt asimilate înscrisurilor oficiale biletele, tichetele sau orice alte imprimate producătoare de consecințe juridice.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Tentativa se pedepsește.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Art. 321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Falsificarea unui înscris oficial cu prilejul întocmirii acestuia, de către un funcționar public aflat în exercitarea atribuțiilor de serviciu, prin atestarea unor fapte sau împrejurări necorespunzătoare adevărului ori prin omisiunea cu știință de a insera unele date sau împrejurări, se pedepsește cu închisoarea de la unu la 5 ani.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Tentativa se pedepsește.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Art. 322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Falsificarea unui înscris sub semnătură privată prin vreunul dintre modurile prevăzute în art. 320 sau art. 321, dacă făptuitorul folosește înscrisul falsificat ori îl încredințează altei persoane spre folosire, în vederea producerii unei consecințe juridice, se pedepsește cu închisoare de la 6 luni la 3 ani sau cu amendă.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Tentativa se pedepsește.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Art. 323 - </w:t>
      </w:r>
      <w:r w:rsidRPr="00687518">
        <w:rPr>
          <w:rFonts w:cs="Calibri"/>
          <w:lang w:val="ro-RO" w:eastAsia="ro-RO"/>
        </w:rPr>
        <w:t xml:space="preserve">Folosirea unui înscris oficial ori sub semnătură privată, cunoscând că este fals, în vederea producerii unei consecințe juridice, se pedepsește cu închisoare de la 3 luni la 3 ani sau cu amendă, când înscrisul este oficial, și cu închisoare de la 3 luni la 2 ani sau cu amendă, când înscrisul este sub semnătură privată.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Art. 324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Falsificarea unei înregistrări tehnice prin contrafacere, alterare ori prin determinarea atestării unor împrejurări necorespunzătoare adevărului sau omisiunea înregistrării unor date sau împrejurări, dacă a fost urmată de folosirea de către făptuitor a înregistrării ori de încredințarea acesteia unei alte persoane spre folosire, în vederea producerii unei consecințe juridice, se pedepsește cu închisoare de la 6 luni la 3 ani sau cu amendă.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folosirea unei înregistrări tehnice falsificate în vederea producerii unei consecințe juridice. </w:t>
      </w:r>
    </w:p>
    <w:p w:rsidR="002E2D2A" w:rsidRPr="00687518" w:rsidRDefault="002E2D2A" w:rsidP="002E2D2A">
      <w:pPr>
        <w:autoSpaceDE w:val="0"/>
        <w:autoSpaceDN w:val="0"/>
        <w:adjustRightInd w:val="0"/>
        <w:spacing w:after="0" w:line="240" w:lineRule="auto"/>
        <w:rPr>
          <w:lang w:val="ro-RO" w:eastAsia="ro-RO"/>
        </w:rPr>
      </w:pPr>
      <w:r w:rsidRPr="00687518">
        <w:rPr>
          <w:rFonts w:cs="Calibri"/>
          <w:b/>
          <w:bCs/>
          <w:lang w:val="ro-RO" w:eastAsia="ro-RO"/>
        </w:rPr>
        <w:lastRenderedPageBreak/>
        <w:t xml:space="preserve">(3) - </w:t>
      </w:r>
      <w:r w:rsidRPr="00687518">
        <w:rPr>
          <w:rFonts w:cs="Calibri"/>
          <w:lang w:val="ro-RO" w:eastAsia="ro-RO"/>
        </w:rPr>
        <w:t xml:space="preserve">Prin înregistrare tehnică, în sensul prezentului articol, se înțelege atestarea unei valori, greutăți, măsuri ori a desfășurării unui eveniment, realizată, în tot sau în parte, în mod automat, prin intermediul </w:t>
      </w:r>
      <w:r w:rsidRPr="00687518">
        <w:rPr>
          <w:lang w:val="ro-RO" w:eastAsia="ro-RO"/>
        </w:rPr>
        <w:t xml:space="preserve">unui dispozitiv tehnic omologat și care este destinată a proba un anumit fapt, în vederea producerii de consecințe juridice.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Art. 325 - </w:t>
      </w:r>
      <w:r w:rsidRPr="00687518">
        <w:rPr>
          <w:rFonts w:cs="Calibri"/>
          <w:lang w:val="ro-RO" w:eastAsia="ro-RO"/>
        </w:rPr>
        <w:t xml:space="preserve">Fapta de a introduce, modifica sau șterge, fără drept, date informatice ori de a restricționa, fără drept, accesul la aceste date, rezultând date necorespunzătoare adevărului, în scopul de a fi utilizate în vederea producerii unei consecințe juridice, constituie infracțiune și se pedepsește cu închisoarea de la unu la 5 ani.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Art. 326 - </w:t>
      </w:r>
      <w:r w:rsidRPr="00687518">
        <w:rPr>
          <w:rFonts w:cs="Calibri"/>
          <w:lang w:val="ro-RO" w:eastAsia="ro-RO"/>
        </w:rPr>
        <w:t xml:space="preserve">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Art. 327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Prezentarea sub o identitate falsă ori atribuirea unei asemenea identități altei persoane, făcută unei persoane dintre cele prevăzute în art. 175 sau transmisă unei unități în care aceasta își desfășoară activitatea prin folosirea frauduloasă a unui act ce servește la identificare, legitimare ori la dovedirea stării civile sau a unui astfel de act falsificat, pentru a induce sau a menține în eroare un funcționar public, în vederea producerii unei consecințe juridice, pentru sine ori pentru altul, se pedepsește cu închisoarea de la 6 luni la 3 ani.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Când prezentarea s-a făcut prin întrebuințarea identității reale a unei persoane, pedeapsa este închisoarea de la unu la 5 ani. </w:t>
      </w:r>
    </w:p>
    <w:p w:rsidR="002E2D2A" w:rsidRPr="00687518"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Încredințarea unui act ce servește la identificare, legitimare ori la dovedirea stării civile spre a fi folosit fără drept se pedepsește cu închisoare de la 3 luni la 2 ani sau cu amendă. </w:t>
      </w:r>
    </w:p>
    <w:p w:rsidR="007F6422" w:rsidRPr="002E2D2A" w:rsidRDefault="002E2D2A" w:rsidP="002E2D2A">
      <w:pPr>
        <w:autoSpaceDE w:val="0"/>
        <w:autoSpaceDN w:val="0"/>
        <w:adjustRightInd w:val="0"/>
        <w:spacing w:after="0" w:line="240" w:lineRule="auto"/>
        <w:rPr>
          <w:rFonts w:cs="Calibri"/>
          <w:lang w:val="ro-RO" w:eastAsia="ro-RO"/>
        </w:rPr>
      </w:pPr>
      <w:r w:rsidRPr="00687518">
        <w:rPr>
          <w:rFonts w:cs="Calibri"/>
          <w:b/>
          <w:bCs/>
          <w:lang w:val="ro-RO" w:eastAsia="ro-RO"/>
        </w:rPr>
        <w:t xml:space="preserve">Art. 328 - </w:t>
      </w:r>
      <w:r w:rsidRPr="00687518">
        <w:rPr>
          <w:rFonts w:cs="Calibri"/>
          <w:lang w:val="ro-RO" w:eastAsia="ro-RO"/>
        </w:rPr>
        <w:t>Dispozițiile cuprinse în prezentul capitol se aplică și atunci când fapta privește acte emise de o autoritate competentă a unui stat străin sau de o organizație internațională instituită printr-un tratat la care România este parte sau declarații ori o identi</w:t>
      </w:r>
      <w:r>
        <w:rPr>
          <w:rFonts w:cs="Calibri"/>
          <w:lang w:val="ro-RO" w:eastAsia="ro-RO"/>
        </w:rPr>
        <w:t xml:space="preserve">tate asumate în fața acesteia. </w:t>
      </w:r>
    </w:p>
    <w:sectPr w:rsidR="007F6422" w:rsidRPr="002E2D2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6E7" w:rsidRDefault="00AE56E7" w:rsidP="00FA2B68">
      <w:pPr>
        <w:spacing w:after="0" w:line="240" w:lineRule="auto"/>
      </w:pPr>
      <w:r>
        <w:separator/>
      </w:r>
    </w:p>
  </w:endnote>
  <w:endnote w:type="continuationSeparator" w:id="0">
    <w:p w:rsidR="00AE56E7" w:rsidRDefault="00AE56E7" w:rsidP="00FA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6E7" w:rsidRDefault="00AE56E7" w:rsidP="00FA2B68">
      <w:pPr>
        <w:spacing w:after="0" w:line="240" w:lineRule="auto"/>
      </w:pPr>
      <w:r>
        <w:separator/>
      </w:r>
    </w:p>
  </w:footnote>
  <w:footnote w:type="continuationSeparator" w:id="0">
    <w:p w:rsidR="00AE56E7" w:rsidRDefault="00AE56E7" w:rsidP="00FA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FA2B68" w:rsidRDefault="00FA2B68">
        <w:pPr>
          <w:pStyle w:val="Head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2E2D2A">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2E2D2A">
          <w:rPr>
            <w:b/>
            <w:bCs/>
            <w:noProof/>
          </w:rPr>
          <w:t>3</w:t>
        </w:r>
        <w:r>
          <w:rPr>
            <w:b/>
            <w:bCs/>
            <w:sz w:val="24"/>
            <w:szCs w:val="24"/>
          </w:rPr>
          <w:fldChar w:fldCharType="end"/>
        </w:r>
      </w:p>
    </w:sdtContent>
  </w:sdt>
  <w:p w:rsidR="00FA2B68" w:rsidRDefault="00FA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E5"/>
    <w:rsid w:val="000C7F0C"/>
    <w:rsid w:val="00263259"/>
    <w:rsid w:val="002E2D2A"/>
    <w:rsid w:val="00367CB9"/>
    <w:rsid w:val="004F0223"/>
    <w:rsid w:val="006F6ED6"/>
    <w:rsid w:val="00787A83"/>
    <w:rsid w:val="00794FE2"/>
    <w:rsid w:val="007F6422"/>
    <w:rsid w:val="00AE56E7"/>
    <w:rsid w:val="00BF1579"/>
    <w:rsid w:val="00C33F25"/>
    <w:rsid w:val="00C7012C"/>
    <w:rsid w:val="00CC1590"/>
    <w:rsid w:val="00D477AE"/>
    <w:rsid w:val="00DA0BE5"/>
    <w:rsid w:val="00FA2B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58-0932-49D7-B418-C7AA19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E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B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2B68"/>
    <w:rPr>
      <w:rFonts w:ascii="Calibri" w:eastAsia="Calibri" w:hAnsi="Calibri" w:cs="Times New Roman"/>
      <w:lang w:val="en-US"/>
    </w:rPr>
  </w:style>
  <w:style w:type="paragraph" w:styleId="Footer">
    <w:name w:val="footer"/>
    <w:basedOn w:val="Normal"/>
    <w:link w:val="FooterChar"/>
    <w:uiPriority w:val="99"/>
    <w:unhideWhenUsed/>
    <w:rsid w:val="00FA2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2B6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TatiCu</dc:creator>
  <cp:keywords/>
  <dc:description/>
  <cp:lastModifiedBy>TatiCu</cp:lastModifiedBy>
  <cp:revision>2</cp:revision>
  <dcterms:created xsi:type="dcterms:W3CDTF">2014-09-17T05:46:00Z</dcterms:created>
  <dcterms:modified xsi:type="dcterms:W3CDTF">2014-09-17T05:46:00Z</dcterms:modified>
</cp:coreProperties>
</file>