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8 </w:t>
      </w:r>
    </w:p>
    <w:p w:rsidR="00937CBC" w:rsidRPr="00687518" w:rsidRDefault="00937CBC" w:rsidP="00937CBC">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Infracțiuni care aduc atingere unor relații privind conviețuirea socială </w:t>
      </w:r>
    </w:p>
    <w:bookmarkEnd w:id="0"/>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ordinii și liniștii publice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367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Inițierea sau constituirea unui grup infracțional organizat, aderarea sau sprijinirea, sub orice formă, a unui astfel de grup se pedepsește cu închisoarea de la unu la 5 ani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infracțiunea care intră în scopul grupului infracțional organizat este sancționată de lege cu pedeapsa detențiunii pe viață sau cu închisoarea mai mare de 10 ani, pedeapsa este închisoarea de la 3 la 10 ani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faptele prevăzute în alin. (1) și alin. (2) au fost urmate de săvârșirea unei infracțiuni, se aplică regulile privind concursul de infracțiuni.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Nu se pedepsesc persoanele care au comis faptele prevăzute în alin. (1) și alin. (2), dacă denunță autorităților grupul infracțional organizat, înainte ca acesta să fi fost descoperit și să se fi început săvârșirea vreuneia dintre infracțiunile care intră în scopul grupului.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persoana care a săvârșit una dintre faptele prevăzute în alin. (1)-(3) înlesnește, în cursul urmăririi penale, aflarea adevărului și tragerea la răspundere penală a unuia sau mai multor membri ai unui grup infracțional organizat, limitele speciale ale pedepsei se reduc la jumătate.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Prin grup infracțional organizat se înțelege grupul structurat, format din trei sau mai multe persoane, constituit pentru o anumită perioadă de timp și pentru a acționa în mod coordonat în scopul comiterii uneia sau mai multor infracțiuni.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368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de a îndemna publicul, verbal, în scris sau prin orice alte mijloace, să săvârșească infracțiuni se pedepsește cu închisoare de la 3 luni la 3 ani sau cu amendă, fără a se putea depăși pedeapsa prevăzută de lege pentru infracțiunea la săvârșirea căreia s-a instigat.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prevăzută în alin. (1) este comisă de un funcționar public, pedeapsa este închisoarea de la unu la 5 ani și interzicerea exercitării unor drepturi, fără a se putea depăși pedeapsa prevăzută de lege pentru infracțiunea la săvârșirea căreia s-a instigat.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instigarea publică a avut ca urmare comiterea infracțiunii la care s-a instigat, pedeapsa este cea prevăzută de lege pentru acea infracțiune.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369 - </w:t>
      </w:r>
      <w:r w:rsidRPr="00687518">
        <w:rPr>
          <w:rFonts w:cs="Calibri"/>
          <w:lang w:val="ro-RO" w:eastAsia="ro-RO"/>
        </w:rPr>
        <w:t xml:space="preserve">Incitarea publicului, prin orice mijloace, la ură sau discriminare împotriva unei categorii de persoane se pedepsește cu închisoare de la 6 luni la 3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370 - </w:t>
      </w:r>
      <w:r w:rsidRPr="00687518">
        <w:rPr>
          <w:rFonts w:cs="Calibri"/>
          <w:lang w:val="ro-RO" w:eastAsia="ro-RO"/>
        </w:rPr>
        <w:t xml:space="preserve">Încercarea de a determina o persoană, prin constrângere sau corupere, să comită o infracțiune pentru care legea prevede pedeapsa detențiunii pe viață sau pedeapsa închisorii mai mare de 10 ani se pedepsește cu închisoare de la unu la 5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371 - </w:t>
      </w:r>
      <w:r w:rsidRPr="00687518">
        <w:rPr>
          <w:rFonts w:cs="Calibri"/>
          <w:lang w:val="ro-RO" w:eastAsia="ro-RO"/>
        </w:rPr>
        <w:t xml:space="preserve">Fapta persoanei care, în public, prin violențe comise împotriva persoanelor sau bunurilor ori prin amenințări sau atingeri grave aduse demnității persoanelor, tulbură ordinea și liniștea publică se pedepsește cu închisoare de la 3 luni la 2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372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de a purta fără drept, la adunări publice, manifestări cultural-sportive, în locuri special amenajate și autorizate pentru distracție ori agrement sau în mijloace de transport în comun: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cuțitul, pumnalul, boxul sau alte asemenea obiecte fabricate sau confecționate anume pentru tăiere, înțepare sau lovire;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arme neletale care nu sunt supuse autorizării ori dispozitive pentru șocuri electrice;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substanțe iritant-lacrimogene sau cu efect paralizant se pedepsește cu închisoare de la 3 luni la un an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Folosirea, fără drept, la adunări publice, manifestări cultural-sportive, în locuri de distracție ori agrement sau în mijloace de transport în comun a obiectelor sau substanțelor prevăzute în alin. (1) se pedepsește cu închisoare de la 6 luni la 2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(3) - </w:t>
      </w:r>
      <w:r w:rsidRPr="00687518">
        <w:rPr>
          <w:rFonts w:cs="Calibri"/>
          <w:lang w:val="ro-RO" w:eastAsia="ro-RO"/>
        </w:rPr>
        <w:t xml:space="preserve">Portul, fără drept, al obiectelor sau substanțelor prevăzute în alin. (1) în sediul autorităților publice, instituțiilor publice sau al altor persoane juridice de interes public ori în spațiile rezervate desfășurării procesului electoral se pedepsește cu închisoare de la unu la 3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373 - </w:t>
      </w:r>
      <w:r w:rsidRPr="00687518">
        <w:rPr>
          <w:rFonts w:cs="Calibri"/>
          <w:lang w:val="ro-RO" w:eastAsia="ro-RO"/>
        </w:rPr>
        <w:t xml:space="preserve">Împiedicarea, prin orice mijloace, a desfășurării unei adunări publice care a fost autorizată potrivit legii se pedepsește cu închisoare de la 3 luni la un an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374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Producerea, deținerea în vederea expunerii sau distribuirii, achiziționarea, stocarea, expunerea, promovarea, distribuirea, precum și punerea la dispoziție, în orice mod, de materiale pornografice cu minori se pedepsesc cu închisoarea de la un an la 5 ani.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faptele prevăzute în alin. (1) au fost săvârșite printr-un sistem informatic sau alt mijloc de stocare a datelor informatice, pedeapsa este închisoarea de la 2 la 7 ani.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Accesarea, fără drept, de materiale pornografice cu minori, prin intermediul sistemelor informatice sau altor mijloace de comunicații electronice, se pedepsește cu închisoare de la 3 luni la 3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Prin materiale pornografice cu minori se înțelege orice material care prezintă un minor având un comportament sexual explicit sau care, deși nu prezintă o persoană reală, simulează, în mod credibil, un minor având un astfel de comportament.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Tentativa se pedepsește.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375 - </w:t>
      </w:r>
      <w:r w:rsidRPr="00687518">
        <w:rPr>
          <w:rFonts w:cs="Calibri"/>
          <w:lang w:val="ro-RO" w:eastAsia="ro-RO"/>
        </w:rPr>
        <w:t xml:space="preserve">Fapta persoanei care, în public, expune sau distribuie fără drept imagini ce prezintă explicit o activitate sexuală, alta decât cea la care se referă art. 374, ori săvârșește acte de exhibiționism sau alte acte sexuale explicite se pedepsește cu închisoare de la 3 luni la 2 ani sau cu amendă. </w:t>
      </w:r>
    </w:p>
    <w:p w:rsidR="00937CBC" w:rsidRPr="00687518" w:rsidRDefault="00937CBC" w:rsidP="00937CBC">
      <w:pPr>
        <w:autoSpaceDE w:val="0"/>
        <w:autoSpaceDN w:val="0"/>
        <w:adjustRightInd w:val="0"/>
        <w:spacing w:after="0" w:line="240" w:lineRule="auto"/>
        <w:rPr>
          <w:rFonts w:cs="Calibri"/>
          <w:b/>
          <w:bCs/>
          <w:lang w:val="ro-RO" w:eastAsia="ro-RO"/>
        </w:rPr>
      </w:pP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familiei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376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Încheierea unei noi căsătorii de către o persoană căsătorită se pedepsește cu închisoare de la 3 luni la 2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Persoana necăsătorită care încheie o căsătorie cu o persoană pe care o știe căsătorită se pedepsește cu închisoare de la o lună la un an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377 - </w:t>
      </w:r>
      <w:r w:rsidRPr="00687518">
        <w:rPr>
          <w:rFonts w:cs="Calibri"/>
          <w:lang w:val="ro-RO" w:eastAsia="ro-RO"/>
        </w:rPr>
        <w:t xml:space="preserve">Raportul sexual consimțit, săvârșit între rude în linie directă sau între frați și surori, se pedepsește cu închisoarea de la un an la 5 ani.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378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Săvârșirea de către persoana care are obligația legală de întreținere, față de cel îndreptățit la întreținere, a uneia dintre următoarele fapte: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părăsirea, alungarea sau lăsarea fără ajutor, expunându-l la suferințe fizice sau morale;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neîndeplinirea, cu rea-credință, a obligației de întreținere prevăzute de lege;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neplata, cu rea-credință, timp de 3 luni, a pensiei de întreținere stabilite pe cale judecătorească, se pedepsește cu închisoare de la 6 luni la 3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neexecutarea, cu rea-credință, de către cel condamnat a prestațiilor periodice stabilite prin hotărâre judecătorească, în favoarea persoanelor îndreptățite la întreținere din partea victimei infracțiunii.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Acțiunea penală se pune în mișcare la plângerea prealabilă a persoanei vătămate.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Fapta nu se pedepsește dacă, înainte de terminarea urmăririi penale, inculpatul își îndeplinește obligațiile.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până la rămânerea definitivă a hotărârii de condamnare, inculpatul își îndeplinește obligațiile, instanța dispune, după caz, amânarea aplicării pedepsei sau suspendarea executării pedepsei sub supraveghere, chiar dacă nu sunt îndeplinite condițiile prevăzute de lege pentru aceasta.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379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Reținerea de către un părinte a copilului său minor, fără consimțământul celuilalt părinte sau al persoanei căreia i-a fost încredințat minorul potrivit legii, se pedepsește cu închisoare de la o lună la 3 luni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Cu aceeași pedeapsă se sancționează fapta persoanei căreia i s-a încredințat minorul prin hotărâre judecătorească spre creștere și educare de a împiedica, în mod repetat, pe oricare dintre părinți să aibă legături personale cu minorul, în condițiile stabilite de părți sau de către organul competent.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Acțiunea penală se pune în mișcare la plângerea prealabilă a persoanei vătămate.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380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Părintele sau persoana căreia i-a fost încredințat, potrivit legii, un minor și care, în mod nejustificat, îl retrage sau îl împiedică prin orice mijloace să urmeze cursurile învățământului general obligatoriu se pedepsește cu închisoare de la 3 luni la un an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Fapta nu se pedepsește dacă înainte de terminarea urmăririi penale inculpatul asigură reluarea frecventării cursurilor de către minor.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până la rămânerea definitivă a hotărârii de condamnare inculpatul asigură reluarea frecventării cursurilor de către minor, instanța dispune, după caz, amânarea aplicării pedepsei sau suspendarea executării pedepsei sub supraveghere, chiar dacă nu sunt îndeplinite condițiile prevăzute de lege pentru aceasta. </w:t>
      </w:r>
    </w:p>
    <w:p w:rsidR="00937CBC" w:rsidRPr="00687518" w:rsidRDefault="00937CBC" w:rsidP="00937CBC">
      <w:pPr>
        <w:autoSpaceDE w:val="0"/>
        <w:autoSpaceDN w:val="0"/>
        <w:adjustRightInd w:val="0"/>
        <w:spacing w:after="0" w:line="240" w:lineRule="auto"/>
        <w:rPr>
          <w:rFonts w:cs="Calibri"/>
          <w:b/>
          <w:bCs/>
          <w:lang w:val="ro-RO" w:eastAsia="ro-RO"/>
        </w:rPr>
      </w:pP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3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contra libertății religioase și respectului datorat persoanelor decedate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381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Împiedicarea sau tulburarea liberei exercitări a ritualului unui cult religios, care este organizat și funcționează potrivit legii, se pedepsește cu închisoare de la 3 luni la 2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Obligarea unei persoane, prin constrângere, să participe la serviciile religioase ale unui cult ori să îndeplinească un act religios legat de exercitarea unui cult se pedepsește cu închisoare de la unu la 3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Cu aceeași pedeapsă se sancționează obligarea unei persoane, prin violență sau amenințare, să îndeplinească un act interzis de cultul, organizat potrivit legii, căruia îi aparține.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Acțiunea penală se pune în mișcare la plângerea prealabilă a persoanei vătămate.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382 - </w:t>
      </w:r>
      <w:r w:rsidRPr="00687518">
        <w:rPr>
          <w:rFonts w:cs="Calibri"/>
          <w:lang w:val="ro-RO" w:eastAsia="ro-RO"/>
        </w:rPr>
        <w:t xml:space="preserve">Profanarea unui lăcaș sau a unui obiect de cult, aparținând unui cult religios care este organizat și funcționează potrivit legii, se pedepsește cu închisoare de la 6 luni la 2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383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Sustragerea, distrugerea sau profanarea unui cadavru ori a cenușii rezultate din incinerarea acestuia se pedepsește cu închisoarea de la 6 luni la 3 ani.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Profanarea prin orice mijloace a unui mormânt, a unei urne funerare sau a unui monument funerar se pedepsește cu închisoare de la 3 luni la 2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384 - </w:t>
      </w:r>
      <w:r w:rsidRPr="00687518">
        <w:rPr>
          <w:rFonts w:cs="Calibri"/>
          <w:lang w:val="ro-RO" w:eastAsia="ro-RO"/>
        </w:rPr>
        <w:t xml:space="preserve">Prelevarea de țesuturi sau organe de la un cadavru, fără drept, se pedepsește cu închisoare de la 6 luni la 3 ani sau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9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Infracțiuni electorale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385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Împiedicarea, prin orice mijloace, a liberului exercițiu al dreptului de a alege sau de a fi ales se pedepsește cu închisoarea de la 6 luni la 3 ani.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Atacul, prin orice mijloace, asupra localului secției de votare se pedepsește cu închisoarea de la 2 la 7 ani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386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Oferirea sau darea de bani, de bunuri ori de alte foloase în scopul determinării alegătorului să voteze sau să nu voteze o anumită listă de candidați ori un anumit candidat se pedepsește cu închisoarea de la 6 luni la 3 ani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Nu intră în categoria bunurilor prevăzute în alin. (1) bunurile cu valoare simbolică, inscripționate cu însemnele unei formațiuni politice.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387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persoanei care votează: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a. </w:t>
      </w:r>
      <w:r w:rsidRPr="00687518">
        <w:rPr>
          <w:rFonts w:cs="Calibri"/>
          <w:lang w:val="ro-RO" w:eastAsia="ro-RO"/>
        </w:rPr>
        <w:t xml:space="preserve">fără a avea acest drept;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de două sau mai multe ori;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prin introducerea în urnă a mai multor buletine de vot decât are dreptul un alegător se pedepsește cu închisoare de la 6 luni la 3 ani sau cu amendă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utilizarea unei cărți de alegător sau a unui act de identitate nul ori fals sau a unui buletin de vot fals.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388 - </w:t>
      </w:r>
      <w:r w:rsidRPr="00687518">
        <w:rPr>
          <w:rFonts w:cs="Calibri"/>
          <w:lang w:val="ro-RO" w:eastAsia="ro-RO"/>
        </w:rPr>
        <w:t xml:space="preserve">Tipărirea și utilizarea de date de acces false, accesarea frauduloasă a sistemului de vot electronic sau falsificarea prin orice mijloace a buletinelor de vot în format electronic se pedepsesc cu închisoarea de la unu la 5 ani.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389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Violarea prin orice mijloace a secretului votului se pedepsește cu amendă.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a fost comisă de un membru al biroului electoral al secției de votare, pedeapsa este închisoare de la 6 luni la 3 ani sau amendă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390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Deschiderea urnelor, înainte de ora stabilită pentru închiderea votării, se pedepsește cu închisoare de la unu la 3 ani sau cu amendă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Încredințarea urnei speciale altor persoane decât membrilor biroului electoral al secției de votare ori transportarea acesteia de către alte persoane sau în alte condiții decât cele prevăzute de lege se pedepsește cu închisoare de la 3 luni la 2 ani sau cu amendă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391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Falsificarea prin orice mijloace a înscrisurilor de la birourile electorale se pedepsește cu închisoarea de la unu la 5 ani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și înscrierea în copia de pe lista electorală permanentă ori de pe lista electorală complementară a unor persoane care nu figurează în această listă.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Introducerea în uz sau folosirea unui program informatic cu vicii care alterează înregistrarea ori însumarea rezultatelor obținute în secțiile de votare sau determină repartizarea mandatelor în afara prevederilor legii se pedepsește cu închisoarea de la 2 la 7 ani și interzicerea exercitării unor drepturi.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Cu aceeași pedeapsă se sancționează introducerea de date, informații sau proceduri care duc la alterarea sistemului informațional național necesar stabilirii rezultatelor alegerilor. </w:t>
      </w:r>
    </w:p>
    <w:p w:rsidR="00937CBC" w:rsidRPr="00687518"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392 - </w:t>
      </w:r>
      <w:r w:rsidRPr="00687518">
        <w:rPr>
          <w:rFonts w:cs="Calibri"/>
          <w:lang w:val="ro-RO" w:eastAsia="ro-RO"/>
        </w:rPr>
        <w:t xml:space="preserve">Dispozițiile art. 385-391 se aplică în mod corespunzător și în cazul faptelor săvârșite cu prilejul unui referendum. </w:t>
      </w:r>
    </w:p>
    <w:p w:rsidR="007F6422" w:rsidRPr="00937CBC" w:rsidRDefault="00937CBC" w:rsidP="00937CBC">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393 - </w:t>
      </w:r>
      <w:r w:rsidRPr="00687518">
        <w:rPr>
          <w:rFonts w:cs="Calibri"/>
          <w:lang w:val="ro-RO" w:eastAsia="ro-RO"/>
        </w:rPr>
        <w:t>Tentativa la infracțiunile prevăzute în art. 385 ș</w:t>
      </w:r>
      <w:r>
        <w:rPr>
          <w:rFonts w:cs="Calibri"/>
          <w:lang w:val="ro-RO" w:eastAsia="ro-RO"/>
        </w:rPr>
        <w:t xml:space="preserve">i art. 387-391 se pedepsește. </w:t>
      </w:r>
    </w:p>
    <w:sectPr w:rsidR="007F6422" w:rsidRPr="00937CB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A3D" w:rsidRDefault="00F36A3D" w:rsidP="00FA2B68">
      <w:pPr>
        <w:spacing w:after="0" w:line="240" w:lineRule="auto"/>
      </w:pPr>
      <w:r>
        <w:separator/>
      </w:r>
    </w:p>
  </w:endnote>
  <w:endnote w:type="continuationSeparator" w:id="0">
    <w:p w:rsidR="00F36A3D" w:rsidRDefault="00F36A3D"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A3D" w:rsidRDefault="00F36A3D" w:rsidP="00FA2B68">
      <w:pPr>
        <w:spacing w:after="0" w:line="240" w:lineRule="auto"/>
      </w:pPr>
      <w:r>
        <w:separator/>
      </w:r>
    </w:p>
  </w:footnote>
  <w:footnote w:type="continuationSeparator" w:id="0">
    <w:p w:rsidR="00F36A3D" w:rsidRDefault="00F36A3D"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937CBC">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937CBC">
          <w:rPr>
            <w:b/>
            <w:bCs/>
            <w:noProof/>
          </w:rPr>
          <w:t>4</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263259"/>
    <w:rsid w:val="002E2D2A"/>
    <w:rsid w:val="00367CB9"/>
    <w:rsid w:val="004F0223"/>
    <w:rsid w:val="00606645"/>
    <w:rsid w:val="006F6ED6"/>
    <w:rsid w:val="00787A83"/>
    <w:rsid w:val="00794FE2"/>
    <w:rsid w:val="007F6422"/>
    <w:rsid w:val="00937CBC"/>
    <w:rsid w:val="00BF1579"/>
    <w:rsid w:val="00C33F25"/>
    <w:rsid w:val="00C7012C"/>
    <w:rsid w:val="00CC1590"/>
    <w:rsid w:val="00D477AE"/>
    <w:rsid w:val="00DA0BE5"/>
    <w:rsid w:val="00F36A3D"/>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2009</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2014-09-17T05:49:00Z</dcterms:created>
  <dcterms:modified xsi:type="dcterms:W3CDTF">2014-09-17T05:49:00Z</dcterms:modified>
</cp:coreProperties>
</file>