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Titlu 10 </w:t>
      </w:r>
    </w:p>
    <w:p w:rsidR="00680A05" w:rsidRPr="00687518" w:rsidRDefault="00680A05" w:rsidP="00680A05">
      <w:pPr>
        <w:autoSpaceDE w:val="0"/>
        <w:autoSpaceDN w:val="0"/>
        <w:adjustRightInd w:val="0"/>
        <w:spacing w:after="0" w:line="240" w:lineRule="auto"/>
        <w:rPr>
          <w:rFonts w:cs="Calibri"/>
          <w:lang w:val="ro-RO" w:eastAsia="ro-RO"/>
        </w:rPr>
      </w:pPr>
      <w:bookmarkStart w:id="0" w:name="_GoBack"/>
      <w:r w:rsidRPr="00687518">
        <w:rPr>
          <w:rFonts w:cs="Calibri"/>
          <w:b/>
          <w:bCs/>
          <w:lang w:val="ro-RO" w:eastAsia="ro-RO"/>
        </w:rPr>
        <w:t xml:space="preserve">Infracțiuni contra securității naționale </w:t>
      </w:r>
    </w:p>
    <w:bookmarkEnd w:id="0"/>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394 - </w:t>
      </w:r>
      <w:r w:rsidRPr="00687518">
        <w:rPr>
          <w:rFonts w:cs="Calibri"/>
          <w:lang w:val="ro-RO" w:eastAsia="ro-RO"/>
        </w:rPr>
        <w:t xml:space="preserve">Fapta cetățeanului român de a intra în legătură cu o putere sau cu o organizație străină ori cu agenți ai acestora, în scopul de a suprima sau știrbi unitatea și indivizibilitatea, suveranitatea sau independența statului, prin: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provocare de război contra țării sau de înlesnire a ocupației militare străine;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subminare economică, politică sau a capacității de apărare a statului;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aservire față de o putere sau organizație străină;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ajutarea unei puteri sau organizații străine pentru desfășurarea unei activități ostile împotriva securității naționale, se pedepsește cu închisoarea de la 10 la 20 de ani și interzicerea exercitării unor drepturi.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395 - </w:t>
      </w:r>
      <w:r w:rsidRPr="00687518">
        <w:rPr>
          <w:rFonts w:cs="Calibri"/>
          <w:lang w:val="ro-RO" w:eastAsia="ro-RO"/>
        </w:rPr>
        <w:t xml:space="preserve">Transmiterea de informații secrete de stat unei puteri sau organizații străine ori agenților acestora, precum și procurarea ori deținerea de documente sau date ce constituie informații secrete de stat de către cei care nu au calitatea de a le cunoaște, în scopul transmiterii lor unei puteri sau organizații străine ori agenților acestora, săvârșite de un cetățean român, se pedepsesc cu închisoarea de la 10 la 20 de ani și interzicerea exercitării unor drepturi.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396 - </w:t>
      </w:r>
      <w:r w:rsidRPr="00687518">
        <w:rPr>
          <w:rFonts w:cs="Calibri"/>
          <w:lang w:val="ro-RO" w:eastAsia="ro-RO"/>
        </w:rPr>
        <w:t xml:space="preserve">Fapta cetățeanului român care, în timp de război: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predă teritorii, orașe, poziții de apărare, depozite ori instalații ale forțelor armate române sau care servesc apărării;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predă nave, aeronave, mașini, aparate, armament sau orice alte materiale care pot servi purtării războiului;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procură inamicului oameni, valori sau materiale de orice fel;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trece de partea inamicului sau efectuează alte acțiuni care sunt de natură să favorizeze activitatea inamicului ori să slăbească puterea de luptă a forțelor armate române sau a armatelor aliate;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e. </w:t>
      </w:r>
      <w:r w:rsidRPr="00687518">
        <w:rPr>
          <w:rFonts w:cs="Calibri"/>
          <w:lang w:val="ro-RO" w:eastAsia="ro-RO"/>
        </w:rPr>
        <w:t xml:space="preserve">luptă sau face parte din formații de luptă împotriva statului român sau a aliaților săi se pedepsește cu detențiune pe viață sau cu închisoare de la 15 la 25 de ani și interzicerea exercitării unor drepturi.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397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Acțiunea armată întreprinsă în scopul schimbării ordinii constituționale ori al îngreunării sau împiedicării exercitării puterii de stat se pedepsește cu închisoarea de la 15 la 25 de ani și interzicerea exercitării unor drepturi.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Întreprinderea de acțiuni violente împotriva persoanelor sau bunurilor săvârșite de mai multe persoane împreună, în scopul schimbării ordinii constituționale ori al îngreunării sau împiedicării exercitării puterii de stat, dacă se pune în pericol securitatea națională, se pedepsește cu închisoarea de la 10 la 20 de ani și interzicerea exercitării unor drepturi.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398 - </w:t>
      </w:r>
      <w:r w:rsidRPr="00687518">
        <w:rPr>
          <w:rFonts w:cs="Calibri"/>
          <w:lang w:val="ro-RO" w:eastAsia="ro-RO"/>
        </w:rPr>
        <w:t xml:space="preserve">Faptele prevăzute în art. 394-397, săvârșite de către Președintele României sau de către un alt membru al Consiliului Suprem de Apărare a Țării, constituie infracțiunea de înaltă trădare și se pedepsesc cu detențiune pe viață sau cu închisoare de la 15 la 25 de ani și interzicerea exercitării unor drepturi.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399 - </w:t>
      </w:r>
      <w:r w:rsidRPr="00687518">
        <w:rPr>
          <w:rFonts w:cs="Calibri"/>
          <w:lang w:val="ro-RO" w:eastAsia="ro-RO"/>
        </w:rPr>
        <w:t xml:space="preserve">Faptele prevăzute în art. 394 și art. 396, săvârșite de un cetățean străin sau apatrid, se pedepsesc cu închisoarea de la 10 la 20 de ani și interzicerea exercitării unor drepturi.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Art. 400 - </w:t>
      </w:r>
      <w:r w:rsidRPr="00687518">
        <w:rPr>
          <w:rFonts w:cs="Calibri"/>
          <w:lang w:val="ro-RO" w:eastAsia="ro-RO"/>
        </w:rPr>
        <w:t xml:space="preserve">Faptele prevăzute în art. 395, săvârșite de un cetățean străin sau apatrid, se pedepsesc cu închisoarea de la 10 la 20 de ani și interzicerea exercitării unor drepturi.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Art. 401 - </w:t>
      </w:r>
      <w:r w:rsidRPr="00687518">
        <w:rPr>
          <w:rFonts w:cs="Calibri"/>
          <w:lang w:val="ro-RO" w:eastAsia="ro-RO"/>
        </w:rPr>
        <w:t xml:space="preserve">Atentatul contra vieții săvârșit împotriva unei persoane care deține o funcție de demnitate publică, dacă fapta pune în pericol securitatea națională, se pedepsește cu detențiune pe viață sau închisoare de la 15 la 25 de ani și interzicerea exercitării unor drepturi.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Art. 402 - </w:t>
      </w:r>
      <w:r w:rsidRPr="00687518">
        <w:rPr>
          <w:rFonts w:cs="Calibri"/>
          <w:lang w:val="ro-RO" w:eastAsia="ro-RO"/>
        </w:rPr>
        <w:t xml:space="preserve">Atentatul săvârșit contra unei colectivități prin otrăviri în masă, provocare de epidemii sau prin orice alt mijloc, în scopul îngreunării sau împiedicării exercitării puterii de stat, se pedepsește cu detențiune pe viață sau cu închisoare de la 15 la 25 de ani și interzicerea exercitării unor drepturi.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Art. 403 - </w:t>
      </w:r>
      <w:r w:rsidRPr="00687518">
        <w:rPr>
          <w:rFonts w:cs="Calibri"/>
          <w:lang w:val="ro-RO" w:eastAsia="ro-RO"/>
        </w:rPr>
        <w:t xml:space="preserve">Distrugerea, degradarea sau aducerea în stare de neîntrebuințare, în întregime sau în parte, prin explozii, incendii sau în orice alt mod, a instalațiilor industriale, a căilor de comunicație, a mijloacelor de transport, a mijloacelor de telecomunicație, a construcțiilor, a produselor industriale </w:t>
      </w:r>
      <w:r w:rsidRPr="00687518">
        <w:rPr>
          <w:rFonts w:cs="Calibri"/>
          <w:lang w:val="ro-RO" w:eastAsia="ro-RO"/>
        </w:rPr>
        <w:lastRenderedPageBreak/>
        <w:t xml:space="preserve">sau agricole ori a altor bunuri, dacă fapta pune în pericol securitatea națională, se pedepsește cu închisoarea de la 10 la 20 de ani și interzicerea exercitării unor drepturi.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Art. 404 - </w:t>
      </w:r>
      <w:r w:rsidRPr="00687518">
        <w:rPr>
          <w:rFonts w:cs="Calibri"/>
          <w:lang w:val="ro-RO" w:eastAsia="ro-RO"/>
        </w:rPr>
        <w:t xml:space="preserve">Comunicarea sau răspândirea, prin orice mijloace, de știri, date sau informații false ori de documente falsificate, cunoscând caracterul fals al acestora, dacă prin aceasta se pune în pericol securitatea națională, se pedepsește cu închisoarea de la unu la 5 ani.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Art. 405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Propaganda pentru război de agresiune, precum și răspândirea de știri tendențioase sau inventate, în scopul provocării unui război de agresiune, se pedepsesc cu închisoarea de la 2 la 7 ani și interzicerea exercitării unor drepturi.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 aceeași pedeapsă se sancționează faptele prevăzute în alin. (1), săvârșite în scopul provocării unui război de agresiune împotriva României sau a unui conflict armat intern.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Art. 406 - </w:t>
      </w:r>
      <w:r w:rsidRPr="00687518">
        <w:rPr>
          <w:rFonts w:cs="Calibri"/>
          <w:lang w:val="ro-RO" w:eastAsia="ro-RO"/>
        </w:rPr>
        <w:t xml:space="preserve">Distrugerea, alterarea ori ascunderea unui document sau înscris în care sunt stabilite drepturi ale statului român în raport cu o putere străină, dacă prin aceasta sunt puse în pericol sau vătămate interesele de stat, se pedepsește cu închisoarea de la 7 la 15 ani și interzicerea exercitării unor drepturi.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Art. 407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Divulgarea unor documente sau a unor date care constituie informații secrete de stat, de către cel care le cunoaște datorită atribuțiilor de serviciu, dacă fapta pune în pericol securitatea națională, se pedepsește cu închisoarea de la 7 la 15 ani și interzicerea exercitării unor drepturi.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Deținerea în afara îndatoririlor de serviciu a unui document ce conține informații secrete de stat, dacă fapta pune în pericol securitatea națională, se pedepsește cu închisoarea de la 5 la 10 ani.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Divulgarea, fără drept, a unor documente sau date care constituie informații secrete de stat, de către cel care ia cunoștință de acestea în afara îndatoririlor de serviciu, se pedepsește cu închisoare de la un an la 5 ani. </w:t>
      </w:r>
    </w:p>
    <w:p w:rsidR="00680A05" w:rsidRPr="00687518" w:rsidRDefault="00680A05" w:rsidP="00680A05">
      <w:pPr>
        <w:autoSpaceDE w:val="0"/>
        <w:autoSpaceDN w:val="0"/>
        <w:adjustRightInd w:val="0"/>
        <w:spacing w:after="0" w:line="240" w:lineRule="auto"/>
        <w:rPr>
          <w:rFonts w:cs="Calibri"/>
          <w:b/>
          <w:bCs/>
          <w:lang w:val="ro-RO" w:eastAsia="ro-RO"/>
        </w:rPr>
      </w:pPr>
      <w:r w:rsidRPr="00687518">
        <w:rPr>
          <w:rFonts w:cs="Calibri"/>
          <w:b/>
          <w:bCs/>
          <w:lang w:val="ro-RO" w:eastAsia="ro-RO"/>
        </w:rPr>
        <w:t xml:space="preserve">Art. 408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Atentatul contra vieții săvârșit împotriva reprezentantului unui stat străin sau altei persoane care se bucură de protecție în conformitate cu convențiile internaționale, aflată în misiune oficială în România, se pedepsește cu detențiune pe viață sau închisoare de la 15 la 25 de ani și interzicerea exercitării unor drepturi.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Infracțiunile intenționate contra integrității corporale, sănătății sau libertății, săvârșite împotriva unei persoane dintre cele menționate în alin. (1), se sancționează cu pedeapsa prevăzută de lege pentru fapta săvârșită, ale cărei limite speciale se majorează cu jumătate.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Art. 409 - </w:t>
      </w:r>
      <w:r w:rsidRPr="00687518">
        <w:rPr>
          <w:rFonts w:cs="Calibri"/>
          <w:lang w:val="ro-RO" w:eastAsia="ro-RO"/>
        </w:rPr>
        <w:t xml:space="preserve">Inițierea, organizarea sau constituirea pe teritoriul României a unor structuri informative în scopul culegerii de informații secrete de stat ori desfășurarea de către acestea a unei activități de culegere sau prelucrare de asemenea informații, în afara cadrului legal, se pedepsește cu închisoarea de la 3 la 10 ani și interzicerea unor drepturi.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Art. 410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Fapta persoanei care, luând cunoștință despre pregătirea sau comiterea vreuneia dintre infracțiunile prevăzute în art. 394-397, art. 399-403 și art. 406-409, nu înștiințează de îndată autoritățile se pedepsește cu închisoarea de la 2 la 7 ani.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Nedenunțarea săvârșită de un membru de familie nu se pedepsește.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Nu se pedepsește persoana care, înainte de punerea în mișcare a acțiunii penale împotriva unei persoane pentru săvârșirea faptei nedenunțate, încunoștințează autoritățile competente despre aceasta sau care, chiar după punerea în mișcare a acțiunii penale, a înlesnit tragerea la răspundere penală a autorului și a participanților.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Art. 411 - </w:t>
      </w:r>
      <w:r w:rsidRPr="00687518">
        <w:rPr>
          <w:rFonts w:cs="Calibri"/>
          <w:lang w:val="ro-RO" w:eastAsia="ro-RO"/>
        </w:rPr>
        <w:t xml:space="preserve">Dacă persoana care a săvârșit una dintre infracțiunile prevăzute în prezentul titlu înlesnește, în cursul urmăririi penale, aflarea adevărului și tragerea la răspundere penală a autorului sau a participanților, limitele speciale ale pedepsei se reduc la jumătate.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Art. 412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Tentativa la infracțiunile prevăzute în prezentul titlu se pedepsește. </w:t>
      </w:r>
    </w:p>
    <w:p w:rsidR="00680A05" w:rsidRPr="00687518" w:rsidRDefault="00680A05" w:rsidP="00680A05">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(2) - </w:t>
      </w:r>
      <w:r w:rsidRPr="00687518">
        <w:rPr>
          <w:rFonts w:cs="Calibri"/>
          <w:lang w:val="ro-RO" w:eastAsia="ro-RO"/>
        </w:rPr>
        <w:t xml:space="preserve">Se consideră tentativă și producerea sau procurarea mijloacelor ori instrumentelor, precum și luarea de măsuri în vederea comiterii infracțiunilor prevăzute în art. 395-397, art. 401-403, art. 408 și art. 399 raportat la infracțiunea de trădare prin ajutarea inamicului. </w:t>
      </w:r>
    </w:p>
    <w:p w:rsidR="007F6422" w:rsidRPr="00680A05" w:rsidRDefault="00937CBC" w:rsidP="00680A05">
      <w:r w:rsidRPr="00680A05">
        <w:t xml:space="preserve"> </w:t>
      </w:r>
    </w:p>
    <w:sectPr w:rsidR="007F6422" w:rsidRPr="00680A0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8CC" w:rsidRDefault="00B818CC" w:rsidP="00FA2B68">
      <w:pPr>
        <w:spacing w:after="0" w:line="240" w:lineRule="auto"/>
      </w:pPr>
      <w:r>
        <w:separator/>
      </w:r>
    </w:p>
  </w:endnote>
  <w:endnote w:type="continuationSeparator" w:id="0">
    <w:p w:rsidR="00B818CC" w:rsidRDefault="00B818CC" w:rsidP="00FA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8CC" w:rsidRDefault="00B818CC" w:rsidP="00FA2B68">
      <w:pPr>
        <w:spacing w:after="0" w:line="240" w:lineRule="auto"/>
      </w:pPr>
      <w:r>
        <w:separator/>
      </w:r>
    </w:p>
  </w:footnote>
  <w:footnote w:type="continuationSeparator" w:id="0">
    <w:p w:rsidR="00B818CC" w:rsidRDefault="00B818CC" w:rsidP="00FA2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FA2B68" w:rsidRDefault="00FA2B68">
        <w:pPr>
          <w:pStyle w:val="Head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sidR="00680A05">
          <w:rPr>
            <w:b/>
            <w:bCs/>
            <w:noProof/>
          </w:rPr>
          <w:t>2</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680A05">
          <w:rPr>
            <w:b/>
            <w:bCs/>
            <w:noProof/>
          </w:rPr>
          <w:t>3</w:t>
        </w:r>
        <w:r>
          <w:rPr>
            <w:b/>
            <w:bCs/>
            <w:sz w:val="24"/>
            <w:szCs w:val="24"/>
          </w:rPr>
          <w:fldChar w:fldCharType="end"/>
        </w:r>
      </w:p>
    </w:sdtContent>
  </w:sdt>
  <w:p w:rsidR="00FA2B68" w:rsidRDefault="00FA2B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E5"/>
    <w:rsid w:val="000C7F0C"/>
    <w:rsid w:val="00263259"/>
    <w:rsid w:val="002E2D2A"/>
    <w:rsid w:val="00367CB9"/>
    <w:rsid w:val="004F0223"/>
    <w:rsid w:val="00606645"/>
    <w:rsid w:val="00680A05"/>
    <w:rsid w:val="006F6ED6"/>
    <w:rsid w:val="00787A83"/>
    <w:rsid w:val="00794FE2"/>
    <w:rsid w:val="007F6422"/>
    <w:rsid w:val="00937CBC"/>
    <w:rsid w:val="00B818CC"/>
    <w:rsid w:val="00BF1579"/>
    <w:rsid w:val="00C33F25"/>
    <w:rsid w:val="00C7012C"/>
    <w:rsid w:val="00CC1590"/>
    <w:rsid w:val="00D477AE"/>
    <w:rsid w:val="00DA0BE5"/>
    <w:rsid w:val="00FA2B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1C858-0932-49D7-B418-C7AA1946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BE5"/>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B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2B68"/>
    <w:rPr>
      <w:rFonts w:ascii="Calibri" w:eastAsia="Calibri" w:hAnsi="Calibri" w:cs="Times New Roman"/>
      <w:lang w:val="en-US"/>
    </w:rPr>
  </w:style>
  <w:style w:type="paragraph" w:styleId="Footer">
    <w:name w:val="footer"/>
    <w:basedOn w:val="Normal"/>
    <w:link w:val="FooterChar"/>
    <w:uiPriority w:val="99"/>
    <w:unhideWhenUsed/>
    <w:rsid w:val="00FA2B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2B6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TatiCu</dc:creator>
  <cp:keywords/>
  <dc:description/>
  <cp:lastModifiedBy>TatiCu</cp:lastModifiedBy>
  <cp:revision>2</cp:revision>
  <dcterms:created xsi:type="dcterms:W3CDTF">2014-09-17T05:50:00Z</dcterms:created>
  <dcterms:modified xsi:type="dcterms:W3CDTF">2014-09-17T05:50:00Z</dcterms:modified>
</cp:coreProperties>
</file>