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11 </w:t>
      </w:r>
    </w:p>
    <w:p w:rsidR="00DB6D08" w:rsidRPr="00687518" w:rsidRDefault="00DB6D08" w:rsidP="00DB6D08">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Infracțiuni contra capacității de luptă a forțelor armate </w:t>
      </w:r>
    </w:p>
    <w:bookmarkEnd w:id="0"/>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săvârșite de militari </w:t>
      </w:r>
    </w:p>
    <w:p w:rsidR="00DB6D08" w:rsidRPr="00687518" w:rsidRDefault="00DB6D08" w:rsidP="00DB6D08">
      <w:pPr>
        <w:autoSpaceDE w:val="0"/>
        <w:autoSpaceDN w:val="0"/>
        <w:adjustRightInd w:val="0"/>
        <w:spacing w:after="0" w:line="240" w:lineRule="auto"/>
        <w:rPr>
          <w:rFonts w:cs="Calibri"/>
          <w:b/>
          <w:bCs/>
          <w:lang w:val="ro-RO" w:eastAsia="ro-RO"/>
        </w:rPr>
      </w:pPr>
      <w:r w:rsidRPr="00687518">
        <w:rPr>
          <w:rFonts w:cs="Calibri"/>
          <w:b/>
          <w:bCs/>
          <w:lang w:val="ro-RO" w:eastAsia="ro-RO"/>
        </w:rPr>
        <w:t>Art. 413</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 </w:t>
      </w:r>
      <w:r w:rsidRPr="00687518">
        <w:rPr>
          <w:rFonts w:cs="Calibri"/>
          <w:lang w:val="ro-RO" w:eastAsia="ro-RO"/>
        </w:rPr>
        <w:t xml:space="preserve">Absența nejustificată a oricărui militar de la unitate sau de la serviciu, care a depășit 4 ore, dar nu mai mult de 24 de ore, în timp de război, pe durata stării de asediu sau a stării de urgență, se pedepsește cu închisoare de la unu la 3 ani sau cu amendă.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414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Absența nejustificată de la unitate sau de la serviciu, care depășește 3 zile, a oricărui militar se pedepsește cu închisoare de la unu la 5 ani sau cu amendă.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Dezertarea săvârșită în următoarele împrejurări: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de doi sau mai mulți militari împreună;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având asupra sa o armă militară;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în timpul misiunilor la care participă în afara teritoriului statului român, se pedepseștecu închisoarea de la 3 la 10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timp de război sau pe un teritoriu pe care a fost proclamată starea de asediu sau de urgență, dezertarea oricărui militar de la unitate sau serviciu care a depășit 24 de ore se pedepsește cu închisoarea de la 3 la 10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415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Încălcarea regulilor serviciului de pază, intervenție, însoțire sau de securitate se pedepsește cu închisoare de la 3 luni la 3 ani sau cu amendă.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Încălcarea consemnului de către santinela aflată în post la depozitele de armament, muniții sau alte materiale explozive ori în alte posturi de un deosebit interes militar sau de stat se pedepsește cu închisoarea de la unu la 5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Faptele prevăzute în alin. (1) și alin. (2) săvârșite în timp de război, pe durata stării de asediu sau a stării de urgență se pedepsesc cu închisoarea de la 3 la 10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416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Părăsirea de către militar a postului, a serviciului sau a oricărui alt loc în care acesta trebuia să se afle se pedepsește cu închisoarea de la 3 luni la unan.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Părăsirea comenzii sau a serviciului de permanență de către orice militar se pedepsește cu închisoarea de la unu la 5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Faptele prevăzute la alin. (1) și (2) săvârșite pe durata stării de asediu sau a stării de urgență se pedepsesc cu închisoare de la 2 la 7 ani, iar dacă au fost săvârșite în timp de război, se pedepsesc cu închisoare de la 3 la 10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417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Refuzul de a executa un ordin cu privire la îndatoririle de serviciu se pedepsește cu închisoare de la 3 luni la 3 ani sau cu amendă.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timp de război, pe durata stării de asediu sau a stării de urgență, pedeapsa pentru fapta prevăzută în alin. (1) este închisoarea de la 2 la 7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418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Constrângerea, prin orice mijloace, a superiorului de către inferior sau a șefului de către subordonat, la încălcarea îndatoririlor de serviciu se pedepsește cu închisoarea de la unu la 3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prevăzută în alin. (1) săvârșită de 2 sau mai mulți militari împreună ori în fața trupei adunate sau prin folosirea unei arme se pedepsește cu închisoarea de la 2 la 7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timp de război fapta prevăzută în alin. (1) se pedepsește cu închisoarea de la 2 la 7 ani, iar fapta prevăzută în alin. (2) se pedepsește cu închisoarea de la 3 la 12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419 - </w:t>
      </w:r>
      <w:r w:rsidRPr="00687518">
        <w:rPr>
          <w:rFonts w:cs="Calibri"/>
          <w:lang w:val="ro-RO" w:eastAsia="ro-RO"/>
        </w:rPr>
        <w:t xml:space="preserve">Fapta superiorului sau a șefului care, prin încălcarea atribuțiilor de serviciu, cauzează o vătămare gravă a intereselor legale ale inferiorului sau subordonatului ori îl obligă să încalce îndatoririle de serviciu se pedepsește cu închisoarea de la unu la 3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420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Lovirea superiorului de către inferior sau a șefului de către subordonat, atunci când superiorul sau șeful se află în exercitarea atribuțiilor de serviciu ori pentru acte îndeplinite în legătură cu aceste atribuții, se pedepsește cu închisoare de la unu la 5 ani sau cu amendă.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și lovirea săvârșită de către superior sau șef împotriva inferiorului sau a subordonatului, atunci când inferiorul sau subordonatul se află în exercitarea atribuțiilor de serviciu ori pentru acte îndeplinite în legătură cu aceste atribuții.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Când faptele prevăzute în alin. (1) și alin. (2) au fost comise în timp de război, pe durata stării de asediu sau a stării de urgență, limitele speciale ale pedepsei se majorează cu o treime.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421 - </w:t>
      </w:r>
      <w:r w:rsidRPr="00687518">
        <w:rPr>
          <w:rFonts w:cs="Calibri"/>
          <w:lang w:val="ro-RO" w:eastAsia="ro-RO"/>
        </w:rPr>
        <w:t xml:space="preserve">Predarea în mâinile inamicului de către comandant a forțelor armate pe care le comandă, lăsarea în mâinile inamicului, distrugerea sau aducerea în stare de neîntrebuințare de către comandant a mijloacelor de luptă sau a altor mijloace necesare pentru purtarea războiului, fără ca vreuna dintre acestea să fi fost determinată de condițiile de luptă, se pedepsește cu detențiune pe viață sau cu închisoare de la 15 la 25 de ani și interzicerea exercitării unor drepturi.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422 - </w:t>
      </w:r>
      <w:r w:rsidRPr="00687518">
        <w:rPr>
          <w:rFonts w:cs="Calibri"/>
          <w:lang w:val="ro-RO" w:eastAsia="ro-RO"/>
        </w:rPr>
        <w:t xml:space="preserve">Părăsirea câmpului de luptă sau refuzul de a acționa, săvârșite în timpul luptei, ori predarea în captivitate sau săvârșirea altor asemenea fapte de natură a servi cauzei inamicului se pedepsește cu detențiune pe viață sau cu închisoare de la 15 la 25 de ani și interzicerea exercitării unor drepturi.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423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Zborul cu o aeronavă aparținând forțelor armate ale statului român, fără prealabilă autorizare, precum și nerespectarea regulilor de zbor, dacă prin aceasta se periclitează securitatea zborului în spațiul aerian sau a aeronavei, se pedepsesc cu închisoare de la unu la 3 ani sau cu amendă.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a avut ca urmare distrugerea sau degradarea aeronavei, pedeapsa este închisoarea de la 5 la 10 ani și interzicerea exercitării unor drepturi, iar dacă a avut ca urmare un dezastru, pedeapsa este închisoarea de la 10 la 20 de ani și interzicerea exercitării unor drepturi.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424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Părăsirea unei nave militare în caz de naufragiu de către comandant, înainte de a-și fi exercitat până la capăt îndatoririle de serviciu, precum și de către orice alte persoane ce fac parte din echipajul navei, fără ordinul comandantului, se pedepsește cu închisoarea de la unu la 5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este săvârșită în timp de război, pe durata stării de asediu sau a stării de urgență, se pedepsește cu închisoarea de la 10 la 20 de ani și interzicerea exercitării unor drepturi.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425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Părăsirea comenzii de către comandantul unei nave militare sau al unei grupări de nave militare, în situații care ar fi putut periclita nava militară sau navele militare ori echipajul acestora, se pedepsește cu închisoarea de la 2 la 7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în care părăsirea comenzii s-a săvârșit în timpul luptei, de către comandantul unei nave militare sau al unei grupări de nave militare, pedeapsa este închisoarea de la 10 la 20 de ani și interzicerea exercitării unor drepturi.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426 - </w:t>
      </w:r>
      <w:r w:rsidRPr="00687518">
        <w:rPr>
          <w:rFonts w:cs="Calibri"/>
          <w:lang w:val="ro-RO" w:eastAsia="ro-RO"/>
        </w:rPr>
        <w:t xml:space="preserve">Fapta comandantului unei nave militare sau grupări de nave militare care, fără a fi fost oprit prin vreun ordin sau fără a fi fost împiedicat de misiunea specială pe care o avea: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nu ia măsurile necesare să atace, să lupte împotriva inamicului, să ajute o navă a statului român sau a unei țări aliate, urmărită de inamic ori angajată în luptă;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nu ia măsurile necesare pentru a distruge un convoi inamic;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nu urmărește navele de război sau comerciale ale inamicului se pedepsește cu închisoarea de la 10 la 20 de ani și interzicerea exercitării unor drepturi. </w:t>
      </w:r>
    </w:p>
    <w:p w:rsidR="00DB6D08" w:rsidRPr="00687518" w:rsidRDefault="00DB6D08" w:rsidP="00DB6D08">
      <w:pPr>
        <w:autoSpaceDE w:val="0"/>
        <w:autoSpaceDN w:val="0"/>
        <w:adjustRightInd w:val="0"/>
        <w:spacing w:after="0" w:line="240" w:lineRule="auto"/>
        <w:rPr>
          <w:rFonts w:cs="Calibri"/>
          <w:b/>
          <w:bCs/>
          <w:lang w:val="ro-RO" w:eastAsia="ro-RO"/>
        </w:rPr>
      </w:pPr>
      <w:r w:rsidRPr="00687518">
        <w:rPr>
          <w:rFonts w:cs="Calibri"/>
          <w:b/>
          <w:bCs/>
          <w:lang w:val="ro-RO" w:eastAsia="ro-RO"/>
        </w:rPr>
        <w:t xml:space="preserve">Art. 427 </w:t>
      </w:r>
    </w:p>
    <w:p w:rsidR="00DB6D08" w:rsidRPr="00687518" w:rsidRDefault="00DB6D08" w:rsidP="00DB6D08">
      <w:pPr>
        <w:autoSpaceDE w:val="0"/>
        <w:autoSpaceDN w:val="0"/>
        <w:adjustRightInd w:val="0"/>
        <w:spacing w:after="0" w:line="240" w:lineRule="auto"/>
        <w:rPr>
          <w:lang w:val="ro-RO" w:eastAsia="ro-RO"/>
        </w:rPr>
      </w:pPr>
      <w:r w:rsidRPr="00687518">
        <w:rPr>
          <w:rFonts w:cs="Calibri"/>
          <w:lang w:val="ro-RO" w:eastAsia="ro-RO"/>
        </w:rPr>
        <w:t xml:space="preserve">Coborârea pavilionului în timpul luptei, în scopul de a servi cauza inamicului, săvârșită de către comandantul unei nave militare sau al unei grupări de nave militare, precum și de către orice altă </w:t>
      </w:r>
      <w:r w:rsidRPr="00687518">
        <w:rPr>
          <w:lang w:val="ro-RO" w:eastAsia="ro-RO"/>
        </w:rPr>
        <w:t xml:space="preserve">persoană ambarcată, se pedepsește cu închisoarea de la 10 la 20 de ani și interzicerea exercitării unor drepturi.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428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Fapta comandantului unei nave militare sau a oricărei persoane aflate la bordul navei, care a produs o coliziune sau punerea pe uscat a navei, dacă fapta a avut ca urmare avarierea gravă a acesteia, se pedepsește cu închisoarea de la 5 la 12 ani și interzicerea exercitării unor drepturi.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în care fapta prevăzută în alin. (1) a fost săvârșită din culpă, pedeapsa este închisoarea de la 6 luni la 3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Fapta prevăzută în alin. (1) săvârșită în timp de război, pe durata stării de asediu sau a stării de urgență, se pedepsește cu închisoarea de la 10 la 20 de ani și interzicerea exercitării unor drepturi.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429 - </w:t>
      </w:r>
      <w:r w:rsidRPr="00687518">
        <w:rPr>
          <w:rFonts w:cs="Calibri"/>
          <w:lang w:val="ro-RO" w:eastAsia="ro-RO"/>
        </w:rPr>
        <w:t xml:space="preserve">Tentativa la infracțiunile prevăzute în art. 421-425, art. 427 și art. 428 alin. (1) se pedepsește.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430 - </w:t>
      </w:r>
      <w:r w:rsidRPr="00687518">
        <w:rPr>
          <w:rFonts w:cs="Calibri"/>
          <w:lang w:val="ro-RO" w:eastAsia="ro-RO"/>
        </w:rPr>
        <w:t xml:space="preserve">Dispozițiile art. 424—426, 428 și 429 se aplică în mod corespunzător și în cazul aeronavelor militare.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431 - </w:t>
      </w:r>
      <w:r w:rsidRPr="00687518">
        <w:rPr>
          <w:rFonts w:cs="Calibri"/>
          <w:lang w:val="ro-RO" w:eastAsia="ro-RO"/>
        </w:rPr>
        <w:t xml:space="preserve">Acțiunea penală pentru infracțiunile prevăzute în art. 413-417 se pune în mișcare numai la sesizarea comandantului. </w:t>
      </w:r>
    </w:p>
    <w:p w:rsidR="00DB6D08" w:rsidRPr="00687518" w:rsidRDefault="00DB6D08" w:rsidP="00DB6D08">
      <w:pPr>
        <w:autoSpaceDE w:val="0"/>
        <w:autoSpaceDN w:val="0"/>
        <w:adjustRightInd w:val="0"/>
        <w:spacing w:after="0" w:line="240" w:lineRule="auto"/>
        <w:rPr>
          <w:rFonts w:cs="Calibri"/>
          <w:b/>
          <w:bCs/>
          <w:lang w:val="ro-RO" w:eastAsia="ro-RO"/>
        </w:rPr>
      </w:pP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săvârșite de militari sau de civili </w:t>
      </w:r>
    </w:p>
    <w:p w:rsidR="00DB6D08" w:rsidRPr="00687518" w:rsidRDefault="00DB6D08" w:rsidP="00DB6D08">
      <w:pPr>
        <w:autoSpaceDE w:val="0"/>
        <w:autoSpaceDN w:val="0"/>
        <w:adjustRightInd w:val="0"/>
        <w:spacing w:after="0" w:line="240" w:lineRule="auto"/>
        <w:rPr>
          <w:rFonts w:cs="Calibri"/>
          <w:b/>
          <w:bCs/>
          <w:lang w:val="ro-RO" w:eastAsia="ro-RO"/>
        </w:rPr>
      </w:pPr>
      <w:r w:rsidRPr="00687518">
        <w:rPr>
          <w:rFonts w:cs="Calibri"/>
          <w:b/>
          <w:bCs/>
          <w:lang w:val="ro-RO" w:eastAsia="ro-RO"/>
        </w:rPr>
        <w:t>Art. 432</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lang w:val="ro-RO" w:eastAsia="ro-RO"/>
        </w:rPr>
        <w:t xml:space="preserve">Fapta persoanei care, în timp de război sau pe durata stării de asediu, își provoacă vătămări integrității corporale sau sănătății, simulează o boală sau o infirmitate, folosește înscrisuri false sau orice alte mijloace, în scopul de a se sustrage de la serviciul militar, se pedepsește cu închisoarea de la 2 la 7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433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persoanei care amenință sau lovește santinela sau militarul aflat în serviciu de intervenție, însoțire sau de securitate se pedepsește cu închisoarea de la unu la 3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este săvârșită prin folosirea unei arme sau de două sau mai multe persoane împreună, pedeapsa este închisoarea de la 2 la 7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434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Sustragerea de la luarea în evidența militară, selecția, stabilirea aptitudinilor și a opțiunilor privind modul de îndeplinire a îndatoririlor militare, în timp de pace, se pedepsește cu amendă.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este săvârșită în timp de război sau pe durata stării de asediu, pedeapsa este închisoarea de la unu la 5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435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Neprezentarea la încorporare, concentrare sau mobilizare în timp de război sau pe durata stării de asediu, în termenul prevăzut în ordinul de chemare, se pedepsește cu închisoarea de la 2 la 7 ani.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și neprezentarea celui încorporat sau concentrat la unitatea la care a fost repartizat, precum și a celui care, executând potrivit legii serviciul alternativ, nu se prezintă în termen la angajator.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Termenele de prezentare prevăzute în alin. (1) și alin. (2) se prelungesc cu 10 zile, în cazul în care cel chemat se află în străinătate. </w:t>
      </w:r>
    </w:p>
    <w:p w:rsidR="00DB6D08" w:rsidRPr="00687518" w:rsidRDefault="00DB6D08" w:rsidP="00DB6D08">
      <w:pPr>
        <w:autoSpaceDE w:val="0"/>
        <w:autoSpaceDN w:val="0"/>
        <w:adjustRightInd w:val="0"/>
        <w:spacing w:after="0" w:line="240" w:lineRule="auto"/>
        <w:rPr>
          <w:rFonts w:cs="Calibri"/>
          <w:b/>
          <w:bCs/>
          <w:lang w:val="ro-RO" w:eastAsia="ro-RO"/>
        </w:rPr>
      </w:pPr>
      <w:r w:rsidRPr="00687518">
        <w:rPr>
          <w:rFonts w:cs="Calibri"/>
          <w:b/>
          <w:bCs/>
          <w:lang w:val="ro-RO" w:eastAsia="ro-RO"/>
        </w:rPr>
        <w:t>Art. 436</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Jefuirea pe câmpul de luptă a morților sau răniților se pedepsește cu închisoarea de la 3 la 10 ani și interzicerea exercitării unor drepturi. </w:t>
      </w:r>
    </w:p>
    <w:p w:rsidR="00DB6D08" w:rsidRPr="0068751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fapta prevăzută în alin. (1) care, fără să fie săvârșită pe câmpul de luptă, este urmarea unor operații de război. </w:t>
      </w:r>
    </w:p>
    <w:p w:rsidR="007F6422" w:rsidRPr="00DB6D08" w:rsidRDefault="00DB6D08" w:rsidP="00DB6D0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437 - </w:t>
      </w:r>
      <w:r w:rsidRPr="00687518">
        <w:rPr>
          <w:rFonts w:cs="Calibri"/>
          <w:lang w:val="ro-RO" w:eastAsia="ro-RO"/>
        </w:rPr>
        <w:t>Folosirea, fără drept, în timp de război sau pe durata stării de asediu, în legătură cu operațiunile militare, a emblemei ori denumirii de „Crucea Roșie” sau a celor asimilate acesteia se pedepsește cu</w:t>
      </w:r>
      <w:r>
        <w:rPr>
          <w:rFonts w:cs="Calibri"/>
          <w:lang w:val="ro-RO" w:eastAsia="ro-RO"/>
        </w:rPr>
        <w:t xml:space="preserve"> închisoarea de la 2 la 7 ani. </w:t>
      </w:r>
      <w:r w:rsidR="00937CBC" w:rsidRPr="00DB6D08">
        <w:t xml:space="preserve"> </w:t>
      </w:r>
    </w:p>
    <w:sectPr w:rsidR="007F6422" w:rsidRPr="00DB6D0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B4" w:rsidRDefault="00B309B4" w:rsidP="00FA2B68">
      <w:pPr>
        <w:spacing w:after="0" w:line="240" w:lineRule="auto"/>
      </w:pPr>
      <w:r>
        <w:separator/>
      </w:r>
    </w:p>
  </w:endnote>
  <w:endnote w:type="continuationSeparator" w:id="0">
    <w:p w:rsidR="00B309B4" w:rsidRDefault="00B309B4"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B4" w:rsidRDefault="00B309B4" w:rsidP="00FA2B68">
      <w:pPr>
        <w:spacing w:after="0" w:line="240" w:lineRule="auto"/>
      </w:pPr>
      <w:r>
        <w:separator/>
      </w:r>
    </w:p>
  </w:footnote>
  <w:footnote w:type="continuationSeparator" w:id="0">
    <w:p w:rsidR="00B309B4" w:rsidRDefault="00B309B4"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DB6D08">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DB6D08">
          <w:rPr>
            <w:b/>
            <w:bCs/>
            <w:noProof/>
          </w:rPr>
          <w:t>3</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263259"/>
    <w:rsid w:val="002E2D2A"/>
    <w:rsid w:val="00367CB9"/>
    <w:rsid w:val="004F0223"/>
    <w:rsid w:val="00606645"/>
    <w:rsid w:val="00680A05"/>
    <w:rsid w:val="006F6ED6"/>
    <w:rsid w:val="00787A83"/>
    <w:rsid w:val="00794FE2"/>
    <w:rsid w:val="007F6422"/>
    <w:rsid w:val="00937CBC"/>
    <w:rsid w:val="00B309B4"/>
    <w:rsid w:val="00BF1579"/>
    <w:rsid w:val="00C33F25"/>
    <w:rsid w:val="00C7012C"/>
    <w:rsid w:val="00CC1590"/>
    <w:rsid w:val="00D477AE"/>
    <w:rsid w:val="00DA0BE5"/>
    <w:rsid w:val="00DB6D08"/>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2014-09-17T05:51:00Z</dcterms:created>
  <dcterms:modified xsi:type="dcterms:W3CDTF">2014-09-17T05:51:00Z</dcterms:modified>
</cp:coreProperties>
</file>