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6 </w:t>
      </w:r>
    </w:p>
    <w:p w:rsidR="00D477AE" w:rsidRPr="00687518" w:rsidRDefault="00D477AE" w:rsidP="00D477AE">
      <w:pPr>
        <w:autoSpaceDE w:val="0"/>
        <w:autoSpaceDN w:val="0"/>
        <w:adjustRightInd w:val="0"/>
        <w:spacing w:after="0" w:line="240" w:lineRule="auto"/>
        <w:rPr>
          <w:rFonts w:cs="Calibri"/>
          <w:lang w:val="ro-RO" w:eastAsia="ro-RO"/>
        </w:rPr>
      </w:pPr>
      <w:bookmarkStart w:id="0" w:name="_GoBack"/>
      <w:r w:rsidRPr="00687518">
        <w:rPr>
          <w:rFonts w:cs="Calibri"/>
          <w:b/>
          <w:bCs/>
          <w:lang w:val="ro-RO" w:eastAsia="ro-RO"/>
        </w:rPr>
        <w:t xml:space="preserve">Autorul și participanții </w:t>
      </w:r>
    </w:p>
    <w:bookmarkEnd w:id="0"/>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Art. 46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Autor este persoana care săvârșește în mod nemijlocit o faptă prevăzută de legea penală.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Coautori sunt persoanele care săvârșesc nemijlocit aceeași faptă prevăzută de legea penală.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Art. 47 - </w:t>
      </w:r>
      <w:r w:rsidRPr="00687518">
        <w:rPr>
          <w:rFonts w:cs="Calibri"/>
          <w:lang w:val="ro-RO" w:eastAsia="ro-RO"/>
        </w:rPr>
        <w:t xml:space="preserve">Instigator este persoana care, cu intenție, determină o altă persoană să săvârșească o faptă prevăzută de legea penală.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Art. 48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Complice este persoana care, cu intenție, înlesnește sau ajută în orice mod la săvârșirea unei fapte prevăzute de legea penală.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Este de asemenea complice persoana care promite, înainte sau în timpul săvârșirii faptei, că va tăinui bunurile provenite din aceasta sau că va favoriza pe făptuitor, chiar dacă după săvârșirea faptei promisiunea nu este îndeplinită.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Art. 49 - </w:t>
      </w:r>
      <w:r w:rsidRPr="00687518">
        <w:rPr>
          <w:rFonts w:cs="Calibri"/>
          <w:lang w:val="ro-RO" w:eastAsia="ro-RO"/>
        </w:rPr>
        <w:t xml:space="preserve">Coautorul, instigatorul și complicele la o infracțiune săvârșită cu intenție se sancționează cu pedeapsa prevăzută de lege pentru autor. La stabilirea pedepsei se ține seama de contribuția fiecăruia la săvârșirea infracțiunii, precum și de dispozițiile art. 74.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Art. 50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Circumstanțele privitoare la persoana autorului sau a unui participant nu se răsfrâng asupra celorlalți.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Circumstanțele privitoare la faptă se răsfrâng asupra autorului și a participanților numai în măsura în care aceștia le-au cunoscut sau le-au prevăzut.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Art. 51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Participantul nu se pedepsește dacă, înainte de descoperirea faptei, denunță săvârșirea infracțiunii, astfel încât consumarea acesteia să poată fi împiedicată, sau dacă împiedică el însuși consumarea infracțiunii.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Dacă actele îndeplinite până în momentul denunțării sau împiedicării constituie o altă infracțiune, participantului i se aplică pedeapsa pentru această infracțiune.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Art. 52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Săvârșirea nemijlocită, cu intenție, de către o persoană a unei fapte prevăzute de legea penală la care, din culpă sau fără vinovăție, contribuie cu acte de executare o altă persoană se sancționează cu pedeapsa prevăzută de lege pentru fapta comisă cu intenție.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Determinarea, înlesnirea sau ajutarea în orice mod, cu intenție, la săvârșirea din culpă de către o altă persoană a unei fapte prevăzute de legea penală se sancționează cu pedeapsa prevăzută de lege pentru fapta comisă cu intenție.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Determinarea, înlesnirea sau ajutarea în orice mod, cu intenție, la săvârșirea unei fapte prevăzute de legea penală, de către o persoană care comite acea faptă fără vinovăție, se sancționează cu pedeapsa prevăzută de lege pentru acea infracțiune.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Dispozițiile art. 50 și art. 51 se aplică în mod corespunzător. </w:t>
      </w:r>
    </w:p>
    <w:p w:rsidR="00D477AE" w:rsidRPr="00687518" w:rsidRDefault="00D477AE" w:rsidP="00D477AE">
      <w:pPr>
        <w:autoSpaceDE w:val="0"/>
        <w:autoSpaceDN w:val="0"/>
        <w:adjustRightInd w:val="0"/>
        <w:spacing w:after="0" w:line="240" w:lineRule="auto"/>
        <w:rPr>
          <w:rFonts w:cs="Calibri"/>
          <w:b/>
          <w:bCs/>
          <w:lang w:val="ro-RO" w:eastAsia="ro-RO"/>
        </w:rPr>
      </w:pP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Titlu 3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Pedepsele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1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Categoriile pedepselor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Art. 53 - </w:t>
      </w:r>
      <w:r w:rsidRPr="00687518">
        <w:rPr>
          <w:rFonts w:cs="Calibri"/>
          <w:lang w:val="ro-RO" w:eastAsia="ro-RO"/>
        </w:rPr>
        <w:t xml:space="preserve">Pedepsele principale sunt: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detențiunea pe viață;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închisoarea;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amenda.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Art. 54 - </w:t>
      </w:r>
      <w:r w:rsidRPr="00687518">
        <w:rPr>
          <w:rFonts w:cs="Calibri"/>
          <w:lang w:val="ro-RO" w:eastAsia="ro-RO"/>
        </w:rPr>
        <w:t xml:space="preserve">Pedeapsa accesorie constă în interzicerea exercitării unor drepturi, din momentul rămânerii definitive a hotărârii de condamnare și până la executarea sau considerarea ca executată a pedepsei privative de libertate.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Art. 55 - </w:t>
      </w:r>
      <w:r w:rsidRPr="00687518">
        <w:rPr>
          <w:rFonts w:cs="Calibri"/>
          <w:lang w:val="ro-RO" w:eastAsia="ro-RO"/>
        </w:rPr>
        <w:t xml:space="preserve">Pedepsele complementare sunt: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interzicerea exercitării unor drepturi;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b. </w:t>
      </w:r>
      <w:r w:rsidRPr="00687518">
        <w:rPr>
          <w:rFonts w:cs="Calibri"/>
          <w:lang w:val="ro-RO" w:eastAsia="ro-RO"/>
        </w:rPr>
        <w:t xml:space="preserve">degradarea militară;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publicarea hotărârii de condamnare. </w:t>
      </w:r>
    </w:p>
    <w:p w:rsidR="00D477AE" w:rsidRPr="00687518" w:rsidRDefault="00D477AE" w:rsidP="00D477AE">
      <w:pPr>
        <w:autoSpaceDE w:val="0"/>
        <w:autoSpaceDN w:val="0"/>
        <w:adjustRightInd w:val="0"/>
        <w:spacing w:after="0" w:line="240" w:lineRule="auto"/>
        <w:rPr>
          <w:rFonts w:cs="Calibri"/>
          <w:b/>
          <w:bCs/>
          <w:lang w:val="ro-RO" w:eastAsia="ro-RO"/>
        </w:rPr>
      </w:pP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2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Pedepsele principale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Sectiune 1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Detențiunea pe viață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Art. 56 - </w:t>
      </w:r>
      <w:r w:rsidRPr="00687518">
        <w:rPr>
          <w:rFonts w:cs="Calibri"/>
          <w:lang w:val="ro-RO" w:eastAsia="ro-RO"/>
        </w:rPr>
        <w:t xml:space="preserve">Detențiunea pe viață constă în privarea de libertate pe durată nedeterminată și se execută potrivit legii privind executarea pedepselor.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Art. 57 - </w:t>
      </w:r>
      <w:r w:rsidRPr="00687518">
        <w:rPr>
          <w:rFonts w:cs="Calibri"/>
          <w:lang w:val="ro-RO" w:eastAsia="ro-RO"/>
        </w:rPr>
        <w:t xml:space="preserve">Dacă la data pronunțării hotărârii de condamnare inculpatul a împlinit vârsta de 65 de ani, în locul detențiunii pe viață i se aplică pedeapsa închisorii pe timp de 30 de ani și pedeapsa interzicerii exercitării unor drepturi pe durata ei maximă.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Art. 58 - </w:t>
      </w:r>
      <w:r w:rsidRPr="00687518">
        <w:rPr>
          <w:rFonts w:cs="Calibri"/>
          <w:lang w:val="ro-RO" w:eastAsia="ro-RO"/>
        </w:rPr>
        <w:t xml:space="preserve">În cazul în care cel condamnat la pedeapsa detențiunii pe viață a împlinit vârsta de 65 de ani în timpul executării pedepsei, pedeapsa detențiunii pe viață poate fi înlocuită cu pedeapsa închisorii pe timp de 30 de ani și pedeapsa interzicerii exercitării unor drepturi pe durata ei maximă, dacă a avut o bună conduită pe toată durata executării pedepsei, a îndeplinit integral obligațiile civile stabilite prin hotărârea de condamnare, afară de cazul când dovedește că nu a avut nicio posibilitate să le îndeplinească, și a făcut progrese constante și evidente în vederea reintegrării sociale.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Art. 59 - </w:t>
      </w:r>
      <w:r w:rsidRPr="00687518">
        <w:rPr>
          <w:rFonts w:cs="Calibri"/>
          <w:lang w:val="ro-RO" w:eastAsia="ro-RO"/>
        </w:rPr>
        <w:t xml:space="preserve">În cazul comutării sau înlocuirii pedepsei detențiunii pe viață cu pedeapsa închisorii, perioada de detențiune executată se consideră ca parte executată din pedeapsa închisorii. </w:t>
      </w:r>
    </w:p>
    <w:p w:rsidR="00D477AE" w:rsidRPr="00687518" w:rsidRDefault="00D477AE" w:rsidP="00D477AE">
      <w:pPr>
        <w:autoSpaceDE w:val="0"/>
        <w:autoSpaceDN w:val="0"/>
        <w:adjustRightInd w:val="0"/>
        <w:spacing w:after="0" w:line="240" w:lineRule="auto"/>
        <w:rPr>
          <w:rFonts w:cs="Calibri"/>
          <w:b/>
          <w:bCs/>
          <w:lang w:val="ro-RO" w:eastAsia="ro-RO"/>
        </w:rPr>
      </w:pP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Sectiune 2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Închisoarea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Art. 60 - </w:t>
      </w:r>
      <w:r w:rsidRPr="00687518">
        <w:rPr>
          <w:rFonts w:cs="Calibri"/>
          <w:lang w:val="ro-RO" w:eastAsia="ro-RO"/>
        </w:rPr>
        <w:t xml:space="preserve">Închisoarea constă în privarea de libertate pe durată determinată, cuprinsă între 15 zile și 30 de ani, și se execută potrivit legii privind executarea pedepselor. </w:t>
      </w:r>
    </w:p>
    <w:p w:rsidR="00D477AE" w:rsidRPr="00687518" w:rsidRDefault="00D477AE" w:rsidP="00D477AE">
      <w:pPr>
        <w:autoSpaceDE w:val="0"/>
        <w:autoSpaceDN w:val="0"/>
        <w:adjustRightInd w:val="0"/>
        <w:spacing w:after="0" w:line="240" w:lineRule="auto"/>
        <w:rPr>
          <w:rFonts w:cs="Calibri"/>
          <w:lang w:val="ro-RO" w:eastAsia="ro-RO"/>
        </w:rPr>
      </w:pP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Sectiune 3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Amenda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Art. 61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Amenda constă în suma de bani pe care condamnatul este obligat să o plătească statului.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Cuantumul amenzii se stabilește prin sistemul zilelor-amendă. Suma corespunzătoare unei zile-amendă, cuprinsă între 10 lei și 500 lei, se înmulțește cu numărul zilelor-amendă, care este cuprins între 30 de zile și 400 de zile.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Instanța stabilește numărul zilelor-amendă potrivit criteriilor generale de individualizare a pedepsei. Cuantumul sumei corespunzătoare unei zile-amendă se stabilește ținând seama și de obligațiile legale ale condamnatului față de persoanele aflate în întreținerea sa.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Limitele speciale ale zilelor-amendă sunt cuprinse între: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60 și 180 de zile-amendă, când legea prevede pentru infracțiunea săvârșită numai pedeapsa amenzii;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120 și 240 de zile-amendă, când legea prevede pedeapsa amenzii alternativ cu pedeapsa închisorii de cel mult doi ani;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180 și 300 de zile-amendă, când legea prevede pedeapsa amenzii alternativ cu pedeapsa închisorii mai mare de 2 ani.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Dacă prin infracțiunea săvârșită s-a urmărit obținerea unui folos patrimonial, iar pedeapsa prevăzută de lege este numai amenda ori instanța optează pentru aplicarea acestei pedepse, limitele speciale ale zilelor-amendă se pot majora cu o treime.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(6) - </w:t>
      </w:r>
      <w:r w:rsidRPr="00687518">
        <w:rPr>
          <w:rFonts w:cs="Calibri"/>
          <w:lang w:val="ro-RO" w:eastAsia="ro-RO"/>
        </w:rPr>
        <w:t xml:space="preserve">Fracțiile stabilite de lege pentru cauzele de atenuare sau agravare a pedepsei se aplică limitelor speciale ale zilelor-amendă prevăzute în alin. (4) și alin. (5).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Art. 62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Dacă prin infracțiunea săvârșită s-a urmărit obținerea unui folos patrimonial, pe lângă pedeapsa închisorii, se poate aplica și pedeapsa amenzii.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(2) - </w:t>
      </w:r>
      <w:r w:rsidRPr="00687518">
        <w:rPr>
          <w:rFonts w:cs="Calibri"/>
          <w:lang w:val="ro-RO" w:eastAsia="ro-RO"/>
        </w:rPr>
        <w:t xml:space="preserve">Limitele speciale ale zilelor-amendă prevăzute în art. 61 alin. (4) lit. b) și lit. c) se determină în raport de durata pedepsei închisorii stabilite de instanță și nu pot fi reduse sau majorate ca efect al cauzelor de atenuare ori agravare a pedepsei.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La stabilirea cuantumului sumei corespunzătoare unei zile-amendă se va ține seama de valoarea folosului patrimonial obținut sau urmărit.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Art. 63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Dacă persoana condamnată, cu rea-credință, nu execută pedeapsa amenzii, în tot sau în parte, numărul zilelor-amendă neexecutate se înlocuiește cu un număr corespunzător de zile cu închisoare.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Dacă amenda neexecutată a însoțit pedeapsa închisorii, numărul zilelor-amendă neexecutate se înlocuiește cu un număr corespunzător de zile cu închisoare, care se adaugă la pedeapsa închisorii, pedeapsa astfel rezultată fiind considerată o singură pedeapsă.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În cazul înlocuirii pedepsei amenzii cu pedeapsa închisorii, în condițiile alin. (1) și alin. (2), unei zile-amendă îi corespunde o zi de închisoare.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Art. 64 </w:t>
      </w:r>
    </w:p>
    <w:p w:rsidR="00D477AE" w:rsidRPr="00687518" w:rsidRDefault="00D477AE" w:rsidP="00D477AE">
      <w:pPr>
        <w:autoSpaceDE w:val="0"/>
        <w:autoSpaceDN w:val="0"/>
        <w:adjustRightInd w:val="0"/>
        <w:spacing w:after="0" w:line="240" w:lineRule="auto"/>
        <w:rPr>
          <w:lang w:val="ro-RO" w:eastAsia="ro-RO"/>
        </w:rPr>
      </w:pPr>
      <w:r w:rsidRPr="00687518">
        <w:rPr>
          <w:rFonts w:cs="Calibri"/>
          <w:b/>
          <w:bCs/>
          <w:lang w:val="ro-RO" w:eastAsia="ro-RO"/>
        </w:rPr>
        <w:t xml:space="preserve">(1) - </w:t>
      </w:r>
      <w:r w:rsidRPr="00687518">
        <w:rPr>
          <w:rFonts w:cs="Calibri"/>
          <w:lang w:val="ro-RO" w:eastAsia="ro-RO"/>
        </w:rPr>
        <w:t xml:space="preserve">În cazul în care pedeapsa amenzii nu poate fi executată în tot sau în parte din motive neimputabile persoanei condamnate, cu consimțământul acesteia, instanța înlocuiește obligația de plată a amenzii neexecutate cu obligația de a presta o muncă neremunerată în folosul comunității, afară de cazul în </w:t>
      </w:r>
      <w:r w:rsidRPr="00687518">
        <w:rPr>
          <w:lang w:val="ro-RO" w:eastAsia="ro-RO"/>
        </w:rPr>
        <w:t xml:space="preserve">care, din cauza stării de sănătate, persoana nu poate presta această muncă. Unei zile-amendă îi corespunde o zi de muncă în folosul comunității.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Dacă amenda înlocuită conform dispozițiilor alin. (1) a însoțit pedeapsa închisorii, obligația de muncă în folosul comunității se execută după executarea pedepsei închisorii.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(3) - </w:t>
      </w:r>
      <w:r w:rsidRPr="00687518">
        <w:rPr>
          <w:rFonts w:cs="Calibri"/>
          <w:lang w:val="ro-RO" w:eastAsia="ro-RO"/>
        </w:rPr>
        <w:t xml:space="preserve">Coordonarea executării obligației de muncă în folosul comunității se face de serviciul de probațiune.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Executarea muncii în folosul comunității dispusă în condițiile alin. (1) încetează prin plata amenzii corespunzătoare zilelor-amendă rămase neexecutate.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(5) - </w:t>
      </w:r>
      <w:r w:rsidRPr="00687518">
        <w:rPr>
          <w:rFonts w:cs="Calibri"/>
          <w:lang w:val="ro-RO" w:eastAsia="ro-RO"/>
        </w:rPr>
        <w:t xml:space="preserve">Instanța înlocuiește zilele-amendă neexecutate prin muncă în folosul comunității cu un număr corespunzător de zile cu închisoare, dacă: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persoana condamnată nu execută obligația de muncă în folosul comunității în condițiile stabilite de instanță;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persoana condamnată săvârșește o nouă infracțiune descoperită înainte de executarea integrală a obligației de muncă în folosul comunității. Zilele-amendă neexecutate prin muncă în folosul comunității la data condamnării definitive pentru noua infracțiune, înlocuite cu închisoarea, se adaugă la pedeapsa pentru noua infracțiune.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(6) - </w:t>
      </w:r>
      <w:r w:rsidRPr="00687518">
        <w:rPr>
          <w:rFonts w:cs="Calibri"/>
          <w:lang w:val="ro-RO" w:eastAsia="ro-RO"/>
        </w:rPr>
        <w:t xml:space="preserve">Dacă persoana condamnată, aflată în situația prevăzută în alin. (1), nu își dă consimțământul la prestarea unei munci neremunerate în folosul comunității, amenda neexecutată se înlocuiește cu pedeapsa închisorii conform art. 63. </w:t>
      </w:r>
    </w:p>
    <w:p w:rsidR="00D477AE" w:rsidRPr="00687518" w:rsidRDefault="00D477AE" w:rsidP="00D477AE">
      <w:pPr>
        <w:autoSpaceDE w:val="0"/>
        <w:autoSpaceDN w:val="0"/>
        <w:adjustRightInd w:val="0"/>
        <w:spacing w:after="0" w:line="240" w:lineRule="auto"/>
        <w:rPr>
          <w:rFonts w:cs="Calibri"/>
          <w:b/>
          <w:bCs/>
          <w:lang w:val="ro-RO" w:eastAsia="ro-RO"/>
        </w:rPr>
      </w:pP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Capitol 3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Pedeapsa accesorie și pedepsele complementare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Sectiune 1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Pedeapsa accesorie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Art. 65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(1) - </w:t>
      </w:r>
      <w:r w:rsidRPr="00687518">
        <w:rPr>
          <w:rFonts w:cs="Calibri"/>
          <w:lang w:val="ro-RO" w:eastAsia="ro-RO"/>
        </w:rPr>
        <w:t xml:space="preserve">Pedeapsa accesorie constă în interzicerea exercitării drepturilor prevăzute la art. 66 alin. (1) lit. a), b) și d)-o), a căror exercitare a fost interzisă de instanță ca pedeapsă complementară.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(2) - </w:t>
      </w:r>
      <w:r w:rsidRPr="00687518">
        <w:rPr>
          <w:rFonts w:cs="Calibri"/>
          <w:lang w:val="ro-RO" w:eastAsia="ro-RO"/>
        </w:rPr>
        <w:t xml:space="preserve">În cazul detențiunii pe viață, pedeapsa accesorie constă în interzicerea de către instanță a exercitării drepturilor prevăzute la art. 66 alin. (1) lit. a)-o) sau a unora dintre acestea.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a. </w:t>
      </w:r>
      <w:r w:rsidRPr="00687518">
        <w:rPr>
          <w:rFonts w:cs="Calibri"/>
          <w:lang w:val="ro-RO" w:eastAsia="ro-RO"/>
        </w:rPr>
        <w:t xml:space="preserve">dreptul de a fi ales în autoritățile publice sau în orice alte funcții publice;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b. </w:t>
      </w:r>
      <w:r w:rsidRPr="00687518">
        <w:rPr>
          <w:rFonts w:cs="Calibri"/>
          <w:lang w:val="ro-RO" w:eastAsia="ro-RO"/>
        </w:rPr>
        <w:t xml:space="preserve">dreptul de a ocupa o funcție care implică exercițiul autorității de stat;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c. </w:t>
      </w:r>
      <w:r w:rsidRPr="00687518">
        <w:rPr>
          <w:rFonts w:cs="Calibri"/>
          <w:lang w:val="ro-RO" w:eastAsia="ro-RO"/>
        </w:rPr>
        <w:t xml:space="preserve">dreptul străinului de a se afla pe teritoriul României;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d. </w:t>
      </w:r>
      <w:r w:rsidRPr="00687518">
        <w:rPr>
          <w:rFonts w:cs="Calibri"/>
          <w:lang w:val="ro-RO" w:eastAsia="ro-RO"/>
        </w:rPr>
        <w:t xml:space="preserve">dreptul de a alege;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e. </w:t>
      </w:r>
      <w:r w:rsidRPr="00687518">
        <w:rPr>
          <w:rFonts w:cs="Calibri"/>
          <w:lang w:val="ro-RO" w:eastAsia="ro-RO"/>
        </w:rPr>
        <w:t xml:space="preserve">drepturile părintești;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f. </w:t>
      </w:r>
      <w:r w:rsidRPr="00687518">
        <w:rPr>
          <w:rFonts w:cs="Calibri"/>
          <w:lang w:val="ro-RO" w:eastAsia="ro-RO"/>
        </w:rPr>
        <w:t xml:space="preserve">dreptul de a fi tutore sau curator.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lastRenderedPageBreak/>
        <w:t xml:space="preserve">(3) - </w:t>
      </w:r>
      <w:r w:rsidRPr="00687518">
        <w:rPr>
          <w:rFonts w:cs="Calibri"/>
          <w:lang w:val="ro-RO" w:eastAsia="ro-RO"/>
        </w:rPr>
        <w:t xml:space="preserve">Pedeapsa accesorie a interzicerii exercitării unor drepturi se execută din momentul rămânerii definitive a hotărârii de condamnare și până când pedeapsa principală privativă de libertate a fost executată sau considerată ca executată. </w:t>
      </w:r>
    </w:p>
    <w:p w:rsidR="00D477AE" w:rsidRPr="00687518" w:rsidRDefault="00D477AE" w:rsidP="00D477AE">
      <w:pPr>
        <w:autoSpaceDE w:val="0"/>
        <w:autoSpaceDN w:val="0"/>
        <w:adjustRightInd w:val="0"/>
        <w:spacing w:after="0" w:line="240" w:lineRule="auto"/>
        <w:rPr>
          <w:rFonts w:cs="Calibri"/>
          <w:lang w:val="ro-RO" w:eastAsia="ro-RO"/>
        </w:rPr>
      </w:pPr>
      <w:r w:rsidRPr="00687518">
        <w:rPr>
          <w:rFonts w:cs="Calibri"/>
          <w:b/>
          <w:bCs/>
          <w:lang w:val="ro-RO" w:eastAsia="ro-RO"/>
        </w:rPr>
        <w:t xml:space="preserve">(4) - </w:t>
      </w:r>
      <w:r w:rsidRPr="00687518">
        <w:rPr>
          <w:rFonts w:cs="Calibri"/>
          <w:lang w:val="ro-RO" w:eastAsia="ro-RO"/>
        </w:rPr>
        <w:t xml:space="preserve">În cazul detențiunii pe viață, pedeapsa accesorie având conținutul prevăzut la art. 66 alin. (1) lit. c) se pune în executare la data liberării condiționate sau după ce pedeapsa a fost considerată ca executată. </w:t>
      </w:r>
    </w:p>
    <w:p w:rsidR="007F6422" w:rsidRPr="00D477AE" w:rsidRDefault="00FA2B68" w:rsidP="00D477AE">
      <w:r w:rsidRPr="00D477AE">
        <w:t xml:space="preserve"> </w:t>
      </w:r>
    </w:p>
    <w:sectPr w:rsidR="007F6422" w:rsidRPr="00D477A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614" w:rsidRDefault="00653614" w:rsidP="00FA2B68">
      <w:pPr>
        <w:spacing w:after="0" w:line="240" w:lineRule="auto"/>
      </w:pPr>
      <w:r>
        <w:separator/>
      </w:r>
    </w:p>
  </w:endnote>
  <w:endnote w:type="continuationSeparator" w:id="0">
    <w:p w:rsidR="00653614" w:rsidRDefault="00653614" w:rsidP="00FA2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614" w:rsidRDefault="00653614" w:rsidP="00FA2B68">
      <w:pPr>
        <w:spacing w:after="0" w:line="240" w:lineRule="auto"/>
      </w:pPr>
      <w:r>
        <w:separator/>
      </w:r>
    </w:p>
  </w:footnote>
  <w:footnote w:type="continuationSeparator" w:id="0">
    <w:p w:rsidR="00653614" w:rsidRDefault="00653614" w:rsidP="00FA2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FA2B68" w:rsidRDefault="00FA2B68">
        <w:pPr>
          <w:pStyle w:val="Head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sidR="00D477AE">
          <w:rPr>
            <w:b/>
            <w:bCs/>
            <w:noProof/>
          </w:rPr>
          <w:t>2</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D477AE">
          <w:rPr>
            <w:b/>
            <w:bCs/>
            <w:noProof/>
          </w:rPr>
          <w:t>4</w:t>
        </w:r>
        <w:r>
          <w:rPr>
            <w:b/>
            <w:bCs/>
            <w:sz w:val="24"/>
            <w:szCs w:val="24"/>
          </w:rPr>
          <w:fldChar w:fldCharType="end"/>
        </w:r>
      </w:p>
    </w:sdtContent>
  </w:sdt>
  <w:p w:rsidR="00FA2B68" w:rsidRDefault="00FA2B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E5"/>
    <w:rsid w:val="00653614"/>
    <w:rsid w:val="007F6422"/>
    <w:rsid w:val="00D477AE"/>
    <w:rsid w:val="00DA0BE5"/>
    <w:rsid w:val="00FA2B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1C858-0932-49D7-B418-C7AA1946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BE5"/>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B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2B68"/>
    <w:rPr>
      <w:rFonts w:ascii="Calibri" w:eastAsia="Calibri" w:hAnsi="Calibri" w:cs="Times New Roman"/>
      <w:lang w:val="en-US"/>
    </w:rPr>
  </w:style>
  <w:style w:type="paragraph" w:styleId="Footer">
    <w:name w:val="footer"/>
    <w:basedOn w:val="Normal"/>
    <w:link w:val="FooterChar"/>
    <w:uiPriority w:val="99"/>
    <w:unhideWhenUsed/>
    <w:rsid w:val="00FA2B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2B6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1503</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TatiCu</dc:creator>
  <cp:keywords/>
  <dc:description/>
  <cp:lastModifiedBy>TatiCu</cp:lastModifiedBy>
  <cp:revision>2</cp:revision>
  <dcterms:created xsi:type="dcterms:W3CDTF">2014-09-17T05:31:00Z</dcterms:created>
  <dcterms:modified xsi:type="dcterms:W3CDTF">2014-09-17T05:31:00Z</dcterms:modified>
</cp:coreProperties>
</file>