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2 </w:t>
      </w:r>
    </w:p>
    <w:p w:rsidR="00BF1579" w:rsidRPr="00687518" w:rsidRDefault="00BF1579" w:rsidP="00BF1579">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Pedepsele complementare </w:t>
      </w:r>
    </w:p>
    <w:bookmarkEnd w:id="0"/>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66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complementară a interzicerii exercitării unor drepturi constă în interzicerea exercitării, pe o perioadă de la unu la 5 ani, a unuia sau mai multora dintre următoarele drepturi: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dreptul de a fi ales în autoritățile publice sau în orice alte funcții publice;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dreptul de a ocupa o funcție care implică exercițiul autorității de stat;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dreptul străinului de a se afla pe teritoriul României;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dreptul de a alege;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drepturile părintești;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dreptul de a fi tutore sau curator;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dreptul de a ocupa funcția, de a exercita profesia sau meseria ori de a desfășura activitatea de care s-a folosit pentru săvârșirea infracțiunii;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h. </w:t>
      </w:r>
      <w:r w:rsidRPr="00687518">
        <w:rPr>
          <w:rFonts w:cs="Calibri"/>
          <w:lang w:val="ro-RO" w:eastAsia="ro-RO"/>
        </w:rPr>
        <w:t xml:space="preserve">dreptul de a deține, purta și folosi orice categorie de arme;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i. </w:t>
      </w:r>
      <w:r w:rsidRPr="00687518">
        <w:rPr>
          <w:rFonts w:cs="Calibri"/>
          <w:lang w:val="ro-RO" w:eastAsia="ro-RO"/>
        </w:rPr>
        <w:t xml:space="preserve">dreptul de a conduce anumite categorii de vehicule stabilite de instanță;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j. </w:t>
      </w:r>
      <w:r w:rsidRPr="00687518">
        <w:rPr>
          <w:rFonts w:cs="Calibri"/>
          <w:lang w:val="ro-RO" w:eastAsia="ro-RO"/>
        </w:rPr>
        <w:t xml:space="preserve">dreptul de a părăsi teritoriul României;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k. </w:t>
      </w:r>
      <w:r w:rsidRPr="00687518">
        <w:rPr>
          <w:rFonts w:cs="Calibri"/>
          <w:lang w:val="ro-RO" w:eastAsia="ro-RO"/>
        </w:rPr>
        <w:t xml:space="preserve">dreptul de a ocupa o funcție de conducere în cadrul unei persoane juridice de drept public;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l. </w:t>
      </w:r>
      <w:r w:rsidRPr="00687518">
        <w:rPr>
          <w:rFonts w:cs="Calibri"/>
          <w:lang w:val="ro-RO" w:eastAsia="ro-RO"/>
        </w:rPr>
        <w:t xml:space="preserve">dreptul de a se afla în anumite localități stabilite de instanță;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m. </w:t>
      </w:r>
      <w:r w:rsidRPr="00687518">
        <w:rPr>
          <w:rFonts w:cs="Calibri"/>
          <w:lang w:val="ro-RO" w:eastAsia="ro-RO"/>
        </w:rPr>
        <w:t xml:space="preserve">dreptul de a se afla în anumite locuri sau la anumite manifestări sportive, culturale ori la alte adunări publice, stabilite de instanță;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n. </w:t>
      </w:r>
      <w:r w:rsidRPr="00687518">
        <w:rPr>
          <w:rFonts w:cs="Calibri"/>
          <w:lang w:val="ro-RO" w:eastAsia="ro-RO"/>
        </w:rPr>
        <w:t xml:space="preserve">dreptul de a comunica cu victima sau cu membri de familie ai acesteia, cu persoanele cu care a comis infracțiunea sau cu alte persoane, stabilite de instanță, ori de a se apropia de acestea;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o. </w:t>
      </w:r>
      <w:r w:rsidRPr="00687518">
        <w:rPr>
          <w:rFonts w:cs="Calibri"/>
          <w:lang w:val="ro-RO" w:eastAsia="ro-RO"/>
        </w:rPr>
        <w:t xml:space="preserve">dreptul de a se apropia de locuința, locul de muncă, școala sau alte locuri unde victima desfășoară activități sociale, în condițiile stabilite de instanța de judecată.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legea prevede interzicerea exercitării dreptului de a ocupa o funcție publică, instanța dispune interzicerea exercitării drepturilor prevăzute în alin. (1) lit. a) și lit. b).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Interzicerea exercitării drepturilor prevăzute în alin. (1) lit. a) și lit. b) se dispune cumulativ.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Pedeapsa prevăzută în alin. (1) lit. c) nu se va dispune atunci când există motive întemeiate de a crede că viața persoanei expulzate este pusă în pericol ori că persoana va fi supusă la tortură sau alte tratamente inumane ori degradante în statul în care urmează a fi expulzată.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Când dispune interzicerea unuia dintre drepturile prevăzute în alin. (1) lit. n) și lit. o), instanța individualizează în concret conținutul acestei pedepse, ținând seama de împrejurările cauzei.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67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complementară a interzicerii exercitării unor drepturi poate fi aplicată dacă pedeapsa principală stabilită este închisoarea sau amenda și instanța constată că, față de natura și gravitatea infracțiunii, împrejurările cauzei și persoana infractorului, această pedeapsă este necesară.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Aplicarea pedepsei interzicerii exercitării unor drepturi este obligatorie când legea prevede această pedeapsă pentru infracțiunea săvârșită.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Interzicerea dreptului străinului de a se afla pe teritoriul României nu se aplică în cazul în care s-a dispus suspendarea executării pedepsei sub supraveghere.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68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Executarea pedepsei interzicerii exercitării unor drepturi începe: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de la rămânerea definitivă a hotărârii de condamnare la pedeapsa amenzii;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de la rămânerea definitivă a hotărârii de condamnare prin care s-a dispus suspendarea executării pedepsei sub supraveghere;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după executarea pedepsei închisorii, după grațierea totală ori a restului de pedeapsă, după împlinirea termenului de prescripție a executării pedepsei sau după expirarea termenului de supraveghere a liberării condiționate.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în care s-a dispus liberarea condiționată, interzicerea dreptului străinului de a se afla pe teritoriul României se execută la data liberării.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se dispune revocarea suspendării executării pedepsei sub supraveghere sau înlocuirea pedepsei amenzii cu închisoarea, pentru alte motive decât săvârșirea unei noi infracțiuni, partea din </w:t>
      </w:r>
      <w:r w:rsidRPr="00687518">
        <w:rPr>
          <w:rFonts w:cs="Calibri"/>
          <w:lang w:val="ro-RO" w:eastAsia="ro-RO"/>
        </w:rPr>
        <w:lastRenderedPageBreak/>
        <w:t xml:space="preserve">durata pedepsei complementare a interzicerii exercitării unor drepturi neexecutată la data revocării sau înlocuirii se va executa după executarea pedepsei închisorii.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69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complementară a degradării militare constă în pierderea gradului și a dreptului de a purta uniformă de la data rămânerii definitive a hotărârii de condamnare.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Degradarea militară se aplică în mod obligatoriu condamnaților militari în activitate, în rezervă sau în retragere, dacă pedeapsa principală aplicată este închisoarea mai mare de 10 ani sau detențiunea pe viață.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Degradarea militară poate fi aplicată condamnaților militari în activitate, în rezervă sau în retragere pentru infracțiuni săvârșite cu intenție, dacă pedeapsa principală aplicată este închisoarea de cel puțin 5 ani și de cel mult 10 ani.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70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Publicarea hotărârii definitive de condamnare se poate dispune când, ținând seama de natura și gravitatea infracțiunii, împrejurările cauzei și persoana condamnatului, instanța apreciază că publicarea va contribui la prevenirea săvârșirii altor asemenea infracțiuni.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Hotărârea de condamnare se publică în extras, în forma stabilită de instanță, într-un cotidian local sau național, o singură dată.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Publicarea hotărârii definitive de condamnare se face pe cheltuiala persoanei condamnate, fără a se dezvălui identitatea altor persoane. </w:t>
      </w:r>
    </w:p>
    <w:p w:rsidR="00BF1579" w:rsidRPr="00687518" w:rsidRDefault="00BF1579" w:rsidP="00BF1579">
      <w:pPr>
        <w:autoSpaceDE w:val="0"/>
        <w:autoSpaceDN w:val="0"/>
        <w:adjustRightInd w:val="0"/>
        <w:spacing w:after="0" w:line="240" w:lineRule="auto"/>
        <w:rPr>
          <w:rFonts w:cs="Calibri"/>
          <w:b/>
          <w:bCs/>
          <w:lang w:val="ro-RO" w:eastAsia="ro-RO"/>
        </w:rPr>
      </w:pP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4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Calculul duratei pedepselor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71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Durata executării pedepsei privative de libertate se socotește din ziua în care condamnatul a început executarea hotărârii definitive de condamnare.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Ziua în care începe executarea pedepsei și ziua în care încetează se socotesc în durata executării.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Perioada în care condamnatul, în cursul executării pedepsei, se află bolnav în spital intră în durata executării, în afară de cazul în care și-a provocat în mod voit boala, iar această împrejurare se constată în cursul executării pedepsei.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Permisiunile de ieșire din penitenciar, acordate condamnatului conform legii de executare a pedepselor, intră în durata executării pedepsei.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72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Perioada în care o persoană a fost supusă unei măsuri preventive privative de libertate se scade din durata pedepsei închisorii pronunțate. Scăderea se face și atunci când condamnatul a fost urmărit sau judecat, în același timp ori în mod separat, pentru mai multe infracțiuni concurente, chiar dacă a fost condamnat pentru o altă faptă decât cea care a determinat dispunerea măsurii preventive.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Perioada în care o persoană a fost supusă unei măsuri preventive privative de libertate se scade și în caz de condamnare la pedeapsa amenzii, prin înlăturarea în tot sau în parte a zilelor-amendă.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cazul amenzii care însoțește pedeapsa închisorii, perioada în care o persoană a fost supusă unei măsuri preventive privative de libertate se scade din durata pedepsei închisorii.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73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cazul infracțiunilor săvârșite în condițiile art. 8, art. 9, art. 10 sau art. 11, partea din pedeapsă, precum și durata măsurilor preventive privative de libertate executate în afara teritoriului țării se scad din durata pedepsei aplicate pentru aceeași infracțiune în România.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se aplică în mod corespunzător și în cazul în care pedeapsa executată în afara țării este amenda. </w:t>
      </w:r>
    </w:p>
    <w:p w:rsidR="00BF1579" w:rsidRPr="00687518" w:rsidRDefault="00BF1579" w:rsidP="00BF1579">
      <w:pPr>
        <w:autoSpaceDE w:val="0"/>
        <w:autoSpaceDN w:val="0"/>
        <w:adjustRightInd w:val="0"/>
        <w:spacing w:after="0" w:line="240" w:lineRule="auto"/>
        <w:rPr>
          <w:rFonts w:cs="Calibri"/>
          <w:b/>
          <w:bCs/>
          <w:lang w:val="ro-RO" w:eastAsia="ro-RO"/>
        </w:rPr>
      </w:pP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5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Individualizarea pedepselor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1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Dispoziții generale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74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Stabilirea duratei ori a cuantumului pedepsei se face în raport cu gravitatea infracțiunii săvârșite și cu periculozitatea infractorului, care se evaluează după următoarele criterii: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împrejurările și modul de comitere a infracțiunii, precum și mijloacele folosite;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starea de pericol creată pentru valoarea ocrotită;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natura și gravitatea rezultatului produs ori a altor consecințe ale infracțiunii;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motivul săvârșirii infracțiunii și scopul urmărit;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natura și frecvența infracțiunilor care constituie antecedente penale ale infractorului;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conduita după săvârșirea infracțiunii și în cursul procesului penal;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nivelul de educație, vârsta, starea de sănătate, situația familială și socială.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pentru infracțiunea săvârșită legea prevede pedepse alternative, se ține seama de criteriile prevăzute în alin. (1) și pentru alegerea uneia dintre acestea. </w:t>
      </w:r>
    </w:p>
    <w:p w:rsidR="00BF1579" w:rsidRPr="00687518" w:rsidRDefault="00BF1579" w:rsidP="00BF1579">
      <w:pPr>
        <w:autoSpaceDE w:val="0"/>
        <w:autoSpaceDN w:val="0"/>
        <w:adjustRightInd w:val="0"/>
        <w:spacing w:after="0" w:line="240" w:lineRule="auto"/>
        <w:rPr>
          <w:rFonts w:cs="Calibri"/>
          <w:b/>
          <w:bCs/>
          <w:lang w:val="ro-RO" w:eastAsia="ro-RO"/>
        </w:rPr>
      </w:pP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2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Circumstanțele atenuante și circumstanțele agravante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75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Următoarele împrejurări constituie circumstanțe atenuante legale: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săvârșirea infracțiunii sub stăpânirea unei puternice tulburări sau emoții, determinată de o provocare din partea persoanei vătămate, produsă prin violență, printr-o atingere gravă a demnității persoanei sau printr-o altă acțiune ilicită gravă;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depășirea limitelor legitimei apărări;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depășirea limitelor stării de necesitate.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acoperirea integrală a prejudiciului material cauzat prin infracțiune, în cursul urmăririi penale sau al judecății, până la primul termen de judecată, dacă făptuitorul nu a mai beneficiat de această circumstanță într-un interval de 5 ani anterior comiterii faptei. Circumstanța atenuantă nu se aplică în cazul săvârșirii următoarelor infracțiuni: contra persoanei, de furt calificat, tâlhărie, piraterie, fraude comise prin sisteme informatice și mijloace de plată electronice, ultraj, ultraj judiciar, purtare abuzivă, infracțiuni contra siguranței publice, infracțiuni contra sănătății publice, infracțiuni contra libertății religioase și respectului datorat persoanelor decedate, contra securității naționale, contra capacității de luptă a forțelor armate, infracțiunilor de genocid, contra umanității și de război, a infracțiunilor privind frontiera de stat a României, a infracțiunilor la legislația privind prevenirea și combaterea terorismului, a infracțiunilor de corupție, infracțiunilor asimilate infracțiunilor de corupție, a celor împotriva intereselor financiare ale Uniunii Europene, a infracțiunilor privitoare la nerespectarea regimului materiilor explozive, materialelor nucleare sau al altor materii radioactive, privind regimul juridic al drogurilor, privind regimul juridic al precursorilor de droguri, a celor privind spălarea banilor, privind activitățile aeronautice civile și cele care pot pune în pericol siguranța zborurilor și securitatea aeronautică, privind protecția martorilor, privind interzicerea organizațiilor și simbolurilor cu caracter fascist, rasist sau xenofob și a promovării cultului persoanelor vinovate de săvârșirea unor infracțiuni contra păcii și omenirii, a celor privind traficul de organe, țesuturi sau celule de origine umană, privind prevenirea și combaterea pornografiei și a celor la regimul adopțiilor.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Pot constitui circumstanțe atenuante judiciare: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eforturile depuse de infractor pentru înlăturarea sau diminuarea consecințelor infracțiunii;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împrejurările legate de fapta comisă, care diminuează gravitatea infracțiunii sau periculozitatea infractorului.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76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cazul în care există circumstanțe atenuante, limitele speciale ale pedepsei prevăzute de lege pentru infracțiunea săvârșită se reduc cu o treime.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pedeapsa prevăzută de lege este detențiunea pe viață, în cazul reținerii circumstanțelor atenuante se aplică pedeapsa închisorii de la 10 la 20 de ani.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Reducerea limitelor speciale ale pedepsei se face o singură dată, indiferent de numărul circumstanțelor atenuante reținute.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77 - </w:t>
      </w:r>
      <w:r w:rsidRPr="00687518">
        <w:rPr>
          <w:rFonts w:cs="Calibri"/>
          <w:lang w:val="ro-RO" w:eastAsia="ro-RO"/>
        </w:rPr>
        <w:t xml:space="preserve">Următoarele împrejurări constituie circumstanțe agravante: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 </w:t>
      </w:r>
      <w:r w:rsidRPr="00687518">
        <w:rPr>
          <w:rFonts w:cs="Calibri"/>
          <w:lang w:val="ro-RO" w:eastAsia="ro-RO"/>
        </w:rPr>
        <w:t xml:space="preserve">săvârșirea faptei de trei sau mai multe persoane împreună;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săvârșirea infracțiunii prin cruzimi sau supunerea victimei la tratamente degradante;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săvârșirea infracțiunii prin metode sau mijloace de natură să pună în pericol alte persoane ori bunuri;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săvârșirea infracțiunii de către un infractor major, dacă aceasta a fost comisă împreună cu un minor;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săvârșirea infracțiunii profitând de starea de vădită vulnerabilitate a persoanei vătămate, datorată vârstei, stării de sănătate, infirmității sau altor cauze;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săvârșirea infracțiunii în stare de intoxicație voluntară cu alcool sau cu alte substanțe psihoactive, când a fost provocată în vederea comiterii infracțiunii;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săvârșirea infracțiunii de către o persoană care a profitat de situația prilejuită de o calamitate, de starea de asediu sau de starea de urgență; </w:t>
      </w:r>
    </w:p>
    <w:p w:rsidR="00BF1579" w:rsidRPr="00687518" w:rsidRDefault="00BF1579" w:rsidP="00BF1579">
      <w:pPr>
        <w:autoSpaceDE w:val="0"/>
        <w:autoSpaceDN w:val="0"/>
        <w:adjustRightInd w:val="0"/>
        <w:spacing w:after="0" w:line="240" w:lineRule="auto"/>
        <w:rPr>
          <w:lang w:val="ro-RO" w:eastAsia="ro-RO"/>
        </w:rPr>
      </w:pPr>
      <w:r w:rsidRPr="00687518">
        <w:rPr>
          <w:rFonts w:cs="Calibri"/>
          <w:b/>
          <w:bCs/>
          <w:lang w:val="ro-RO" w:eastAsia="ro-RO"/>
        </w:rPr>
        <w:t xml:space="preserve">h. </w:t>
      </w:r>
      <w:r w:rsidRPr="00687518">
        <w:rPr>
          <w:rFonts w:cs="Calibri"/>
          <w:lang w:val="ro-RO" w:eastAsia="ro-RO"/>
        </w:rPr>
        <w:t xml:space="preserve">săvârșirea infracțiunii pentru motive legate de rasă, naționalitate, etnie, limbă, religie, gen, orientare sexuală, opinie ori apartenență politică, avere, origine socială, vârstă, dizabilitate, boală cronică </w:t>
      </w:r>
      <w:r w:rsidRPr="00687518">
        <w:rPr>
          <w:lang w:val="ro-RO" w:eastAsia="ro-RO"/>
        </w:rPr>
        <w:t xml:space="preserve">necontagioasă sau infecție HIV/SIDA ori pentru alte împrejurări de același fel, considerate de făptuitor drept cauze ale inferiorității unei persoane în raport cu celelalte.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78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 cazul în care există circumstanțe agravante, se poate aplica o pedeapsă până la maximul special. Dacă maximul special este neîndestulător, în cazul închisorii se poate adăuga un spor până la 2 ani, care nu poate depăși o treime din acest maxim, iar în cazul amenzii se poate aplica un spor de cel mult o treime din maximul special.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Majorarea limitelor speciale ale pedepsei se face o singură dată, indiferent de numărul circumstanțelor agravante reținute.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79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Când în cazul aceleiași infracțiuni sunt incidente două sau mai multe dispoziții care au ca efect reducerea pedepsei, limitele speciale ale pedepsei prevăzute de lege pentru infracțiunea săvârșită se reduc prin aplicarea succesivă a dispozițiilor privitoare la tentativă, circumstanțe atenuante și cazuri speciale de reducere a pedepsei, în această ordine.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sunt incidente două sau mai multe dispoziții care au ca efect agravarea răspunderii penale, pedeapsa se stabilește prin aplicarea succesivă a dispozițiilor privitoare la circumstanțe agravante, infracțiune continuată, concurs sau recidivă.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în cazul aceleiași infracțiuni sunt incidente una sau mai multe cauze de reducere a pedepsei și una sau mai multe cauze de majorare a pedepsei, limitele speciale ale pedepsei prevăzute de lege pentru infracțiunea săvârșită se reduc conform alin. (1), după care limitele de pedeapsă rezultate se majorează conform alin. (2). </w:t>
      </w:r>
    </w:p>
    <w:p w:rsidR="00BF1579" w:rsidRPr="00687518" w:rsidRDefault="00BF1579" w:rsidP="00BF1579">
      <w:pPr>
        <w:autoSpaceDE w:val="0"/>
        <w:autoSpaceDN w:val="0"/>
        <w:adjustRightInd w:val="0"/>
        <w:spacing w:after="0" w:line="240" w:lineRule="auto"/>
        <w:rPr>
          <w:rFonts w:cs="Calibri"/>
          <w:b/>
          <w:bCs/>
          <w:lang w:val="ro-RO" w:eastAsia="ro-RO"/>
        </w:rPr>
      </w:pP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3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Renunțarea la aplicarea pedepsei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80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Instanța poate dispune renunțarea la aplicarea pedepsei dacă sunt întrunite următoarele condiții: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infracțiunea săvârșită prezintă o gravitate redusă, având în vedere natura și întinderea urmărilor produse, mijloacele folosite, modul și împrejurările în care a fost comisă, motivul și scopul urmărit;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 raport de persoana infractorului, de conduita avută anterior săvârșirii infracțiunii, de eforturile depuse de acesta pentru înlăturarea sau diminuarea consecințelor infracțiunii, precum și de posibilitățile sale de îndreptare, instanța apreciază că aplicarea unei pedepse ar fi inoportună din cauza consecințelor pe care le-ar avea asupra persoanei acestuia.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Nu se poate dispune renunțarea la aplicarea pedepsei dacă: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infractorul a mai suferit anterior o condamnare, cu excepția cazurilor prevăzute în art. 42 lit. a) și lit. b) sau pentru care a intervenit reabilitarea ori s-a împlinit termenul de reabilitare;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față de același infractor s-a mai dispus renunțarea la aplicarea pedepsei în ultimii 2 ani anteriori datei comiterii infracțiunii pentru care este judecat;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c. </w:t>
      </w:r>
      <w:r w:rsidRPr="00687518">
        <w:rPr>
          <w:rFonts w:cs="Calibri"/>
          <w:lang w:val="ro-RO" w:eastAsia="ro-RO"/>
        </w:rPr>
        <w:t xml:space="preserve">infractorul s-a sustras de la urmărire penală ori judecată sau a încercat zădărnicirea aflării adevărului ori a identificării și tragerii la răspundere penală a autorului sau a participanților;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pedeapsa prevăzută de lege pentru infracțiunea săvârșită este închisoarea mai mare de 5 ani.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 de concurs de infracțiuni, renunțarea la aplicarea pedepsei se poate dispune dacă pentru fiecare infracțiune concurentă sunt îndeplinite condițiile prevăzute în alin. (1) și alin. (2).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81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Când dispune renunțarea la aplicarea pedepsei, instanța aplică infractorului un avertisment.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Avertismentul constă în prezentarea motivelor de fapt care au determinat renunțarea la aplicarea pedepsei și atenționarea infractorului asupra conduitei sale viitoare și a consecințelor la care se expune dacă va mai comite infracțiuni.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 de concurs de infracțiuni se aplică un singur avertisment.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Art. 82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Persoana față de care s-a dispus renunțarea la aplicarea pedepsei nu este supusă niciunei decăderi, interdicții sau incapacități ce ar putea decurge din infracțiunea săvârșită. </w:t>
      </w:r>
    </w:p>
    <w:p w:rsidR="00BF1579" w:rsidRPr="00687518"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Renunțarea la aplicarea pedepsei nu produce efecte asupra executării măsurilor de siguranță și a obligațiilor civile prevăzute în hotărâre. </w:t>
      </w:r>
    </w:p>
    <w:p w:rsidR="007F6422" w:rsidRPr="00BF1579" w:rsidRDefault="00BF1579" w:rsidP="00BF157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Dacă în termen de 2 ani de la rămânerea definitivă a hotărârii prin care s-a dispus renunțarea la aplicarea pedepsei se descoperă că persoana față de care s-a luat această măsură săvârșise anterior rămânerii definitive a hotărârii o altă infracțiune, pentru care i s-a stabilit o pedeapsă chiar după expirarea acestui termen, renunțarea la aplicarea pedepsei se anulează și se stabilește pedeapsa pentru infracțiunea care a atras inițial renunțarea la aplicarea pedepsei, aplicându-se apoi, după caz, dispozițiile privitoare la concursul de infracțiuni, recidivă</w:t>
      </w:r>
      <w:r>
        <w:rPr>
          <w:rFonts w:cs="Calibri"/>
          <w:lang w:val="ro-RO" w:eastAsia="ro-RO"/>
        </w:rPr>
        <w:t xml:space="preserve"> sau pluralitate intermediară. </w:t>
      </w:r>
      <w:r w:rsidR="00FA2B68" w:rsidRPr="00BF1579">
        <w:t xml:space="preserve"> </w:t>
      </w:r>
    </w:p>
    <w:sectPr w:rsidR="007F6422" w:rsidRPr="00BF15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BD" w:rsidRDefault="00286BBD" w:rsidP="00FA2B68">
      <w:pPr>
        <w:spacing w:after="0" w:line="240" w:lineRule="auto"/>
      </w:pPr>
      <w:r>
        <w:separator/>
      </w:r>
    </w:p>
  </w:endnote>
  <w:endnote w:type="continuationSeparator" w:id="0">
    <w:p w:rsidR="00286BBD" w:rsidRDefault="00286BBD"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BD" w:rsidRDefault="00286BBD" w:rsidP="00FA2B68">
      <w:pPr>
        <w:spacing w:after="0" w:line="240" w:lineRule="auto"/>
      </w:pPr>
      <w:r>
        <w:separator/>
      </w:r>
    </w:p>
  </w:footnote>
  <w:footnote w:type="continuationSeparator" w:id="0">
    <w:p w:rsidR="00286BBD" w:rsidRDefault="00286BBD"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BF1579">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BF1579">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286BBD"/>
    <w:rsid w:val="007F6422"/>
    <w:rsid w:val="00BF1579"/>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2498</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2014-09-17T05:32:00Z</dcterms:created>
  <dcterms:modified xsi:type="dcterms:W3CDTF">2014-09-17T05:32:00Z</dcterms:modified>
</cp:coreProperties>
</file>