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6 </w:t>
      </w:r>
    </w:p>
    <w:p w:rsidR="004F0223" w:rsidRPr="00687518" w:rsidRDefault="004F0223" w:rsidP="004F0223">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Liberarea condiționată </w:t>
      </w:r>
    </w:p>
    <w:bookmarkEnd w:id="0"/>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99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Liberarea condiționată în cazul detențiunii pe viață poate fi dispusă, dacă: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cel condamnat a executat efectiv 20 de ani de detențiune;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cel condamnat a avut o bună conduită pe toată durata executării pedepsei;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cel condamnat a îndeplinit integral obligațiile civile stabilite prin hotărârea de condamnare, afară de cazul când dovedește că nu a avut nicio posibilitate să le îndeplinească;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instanța are convingerea că persoana condamnată s-a îndreptat și se poate reintegra în societate.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Este obligatorie prezentarea motivelor de fapt ce au determinat acordarea liberării condiționate și atenționarea condamnatului asupra conduitei sale viitoare și a consecințelor la care se expune, dacă va mai comite infracțiuni sau nu va respecta măsurile de supraveghere ori dacă nu va executa obligațiile ce îi revin pe durata termenului de supraveghere.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De la data liberării condiționate, condamnatul este supus unui termen de supraveghere de 10 ani.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100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Liberarea condiționată în cazul închisorii poate fi dispusă, dacă: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cel condamnat a executat cel puțin două treimi din durata pedepsei, în cazul închisorii care nu depășește 10 ani, sau cel puțin trei pătrimi din durata pedepsei, dar nu mai mult de 20 de ani, în cazul închisorii mai mari de 10 ani;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cel condamnat se află în executarea pedepsei în regim semideschis sau deschis;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cel condamnat a îndeplinit integral obligațiile civile stabilite prin hotărârea de condamnare, afară de cazul când dovedește că nu a avut nicio posibilitate să le îndeplinească;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instanța are convingerea că persoana condamnată s-a îndreptat și se poate reintegra în societate.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condamnatului care a împlinit vârsta de 60 de ani, se poate dispune liberarea condiționată, după executarea efectivă a jumătate din durata pedepsei, în cazul închisorii ce nu depășește 10 ani, sau a cel puțin două treimi din durata pedepsei, în cazul închisorii mai mari de 10 ani, dacă sunt îndeplinite condițiile prevăzute în alin. (1) lit. b)-d).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calculul fracțiunilor de pedeapsă prevăzute în alin. (1) se ține seama de partea din durata pedepsei ce poate fi considerată, potrivit legii, ca executată pe baza muncii prestate. În acest caz, liberarea condiționată nu poate fi dispusă înainte de executarea efectivă a cel puțin jumătate din durata pedepsei închisorii, când aceasta nu depășește 10 ani, și a cel puțin două treimi, când pedeapsa este mai mare de 10 ani. </w:t>
      </w:r>
    </w:p>
    <w:p w:rsidR="004F0223" w:rsidRPr="00687518" w:rsidRDefault="004F0223" w:rsidP="004F0223">
      <w:pPr>
        <w:autoSpaceDE w:val="0"/>
        <w:autoSpaceDN w:val="0"/>
        <w:adjustRightInd w:val="0"/>
        <w:spacing w:after="0" w:line="240" w:lineRule="auto"/>
        <w:rPr>
          <w:lang w:val="ro-RO" w:eastAsia="ro-RO"/>
        </w:rPr>
      </w:pPr>
      <w:r w:rsidRPr="00687518">
        <w:rPr>
          <w:rFonts w:cs="Calibri"/>
          <w:b/>
          <w:bCs/>
          <w:lang w:val="ro-RO" w:eastAsia="ro-RO"/>
        </w:rPr>
        <w:t xml:space="preserve">(4) - </w:t>
      </w:r>
      <w:r w:rsidRPr="00687518">
        <w:rPr>
          <w:rFonts w:cs="Calibri"/>
          <w:lang w:val="ro-RO" w:eastAsia="ro-RO"/>
        </w:rPr>
        <w:t xml:space="preserve">În calculul fracțiunilor de pedeapsă prevăzute în alin. (2) se ține seama de partea din durata pedepsei ce poate fi considerată, potrivit legii, ca executată pe baza muncii prestate. În acest caz, </w:t>
      </w:r>
      <w:r w:rsidRPr="00687518">
        <w:rPr>
          <w:lang w:val="ro-RO" w:eastAsia="ro-RO"/>
        </w:rPr>
        <w:t xml:space="preserve">liberarea condiționată nu poate fi dispusă înainte de executarea efectivă a cel puțin o treime din durata pedepsei închisorii, când aceasta nu depășește 10 ani, și a cel puțin jumătate, când pedeapsa este mai mare de 10 ani.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Este obligatorie prezentarea motivelor de fapt ce au determinat acordarea liberării condiționate și atenționarea condamnatului asupra conduitei sale viitoare și a consecințelor la care se expune, dacă va mai comite infracțiuni sau nu va respecta măsurile de supraveghere ori nu va executa obligațiile ce îi revin pe durata termenului de supraveghere.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Intervalul cuprins între data liberării condiționate și data împlinirii duratei pedepsei constituie termen de supraveghere pentru condamnat.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101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restul de pedeapsă rămas neexecutat la data liberării este de 2 ani sau mai mare, condamnatul trebuie să respecte următoarele măsuri de supraveghere: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 se prezinte la serviciul de probațiune, la datele fixate de acesta;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să primească vizitele persoanei desemnate cu supravegherea sa;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să anunțe, în prealabil, orice schimbare a locuinței și orice deplasare care depășește 5 zile;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să comunice schimbarea locului de muncă;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să comunice informații și documente de natură a permite controlul mijloacelor sale de existență.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În cazul prevăzut în alin. (1), instanța poate impune condamnatului să execute una sau mai multe dintre următoarele obligații: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 urmeze un curs de pregătire școlară ori de calificare profesională;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să frecventeze unul sau mai multe programe de reintegrare socială derulate de către serviciul de probațiune sau organizate în colaborare cu instituții din comunitate;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să nu părăsească teritoriul României;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să nu se afle în anumite locuri sau la anumite manifestări sportive, culturale ori la alte adunări publice, stabilite de instanță;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să nu comunice cu victima sau cu membri de familie ai acesteia, cu participanții la săvârșirea infracțiunii sau cu alte persoane, stabilite de instanță, ori să nu se apropie de acestea;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să nu conducă anumite vehicule stabilite de instanță;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să nu dețină, să nu folosească și să nu poarte nicio categorie de arme.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Obligațiile prevăzute în alin. (2) lit. c)-g) pot fi impuse în măsura în care nu au fost aplicate în conținutul pedepsei complementare a interzicerii exercitării unor drepturi.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Când stabilește obligația prevăzută la alin. (2) lit. d)—f), instanța individualizează, în concret, conținutul acestei obligații, ținând seama de împrejurările cauzei.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Măsurile de supraveghere și obligațiile prevăzute în alin. (2) lit. a) și lit. b) se execută din momentul acordării liberării, pe o perioadă egală cu o treime din durata termenului de supraveghere, dar nu mai mult de 2 ani, iar obligațiile prevăzute în alin. (2) lit. c)-g) se execută pe toată durata termenului de supraveghere.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(6)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102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 durata supravegherii, datele prevăzute în art. 101 alin. (1) lit. c)-e) se comunică serviciului de probațiune.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Supravegherea executării obligațiilor prevăzute în art. 101 alin. (2) lit. a) și lit. b) se face de serviciul de probațiune. Verificarea modului de îndeplinire a obligațiilor prevăzute în art. 101 alin. (2) lit. c)-g) se face de organele abilitate, care vor sesiza serviciul de probațiune cu privire la orice încălcare a acestora.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Supravegherea executării obligațiilor prevăzute în art. 101 alin. (2) lit. d) și lit. e) poate fi realizată și printr-un sistem electronic de supraveghere, în condițiile prevăzute de legea specială.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 durata supravegherii, serviciul de probațiune are obligația să sesizeze instanța, dacă: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au intervenit motive care justifică fie modificarea obligațiilor impuse de instanță, fie încetarea executării unora dintre acestea;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persoana supravegheată nu respectă măsurile de supraveghere sau nu execută, în condițiile stabilite, obligațiile ce îi revin.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103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 durata supravegherii au intervenit motive care justifică fie impunerea unor noi obligații, fie sporirea sau diminuarea condițiilor de executare a celor existente, instanța dispune modificarea obligațiilor în mod corespunzător, pentru a asigura condamnatului șanse mai mari de reintegrare socială.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Instanța dispune încetarea executării unora dintre obligațiile pe care le-a impus, când apreciază că menținerea acestora nu mai este necesară.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104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 durata supravegherii persoana condamnată, cu rea-credință, nu respectă măsurile de supraveghere sau nu execută obligațiile impuse, instanța revocă liberarea și dispune executarea restului de pedeapsă.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după acordarea liberării cel condamnat a săvârșit o nouă infracțiune, care a fost descoperită în termenul de supraveghere și pentru care s-a pronunțat o condamnare la pedeapsa închisorii, chiar după expirarea acestui termen, instanța revocă liberarea și dispune executarea restului de pedeapsă. Pedeapsa pentru noua infracțiune se stabilește și se execută, după caz, potrivit dispozițiilor de la recidivă sau pluralitate intermediară.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(3) - </w:t>
      </w:r>
      <w:r w:rsidRPr="00687518">
        <w:rPr>
          <w:rFonts w:cs="Calibri"/>
          <w:lang w:val="ro-RO" w:eastAsia="ro-RO"/>
        </w:rPr>
        <w:t xml:space="preserve">Dispozițiile alin. (1) și alin. (2) se aplică în mod corespunzător și în cazul liberării condiționate din executarea pedepsei detențiunii pe viață.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105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 parcursul termenului de supraveghere se descoperă că persoana condamnată mai săvârșise o infracțiune până la acordarea liberării, pentru care i s-a aplicat pedeapsa închisorii chiar după expirarea acestui termen, liberarea se anulează, aplicându-se, după caz, dispozițiile privitoare la concursul de infracțiuni, recidivă sau pluralitate intermediară.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în care, în raport de pedeapsa rezultată, sunt îndeplinite condițiile prevăzute în art. 99 sau art. 100, instanța poate acorda liberarea condiționată. Dacă s-a dispus liberarea, termenul de supraveghere se calculează de la data acordării primei liberări.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după anulare, instanța dispune executarea pedepsei rezultante, partea din durata pedepsei complementare a interzicerii exercitării unor drepturi neexecutată la data anulării liberării se va executa după executarea pedepsei închisorii.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106 - </w:t>
      </w:r>
      <w:r w:rsidRPr="00687518">
        <w:rPr>
          <w:rFonts w:cs="Calibri"/>
          <w:lang w:val="ro-RO" w:eastAsia="ro-RO"/>
        </w:rPr>
        <w:t xml:space="preserve">În cazul în care condamnatul nu a săvârșit o nouă infracțiune descoperită până la expirarea termenului de supraveghere, nu s-a dispus revocarea liberării condiționate și nu s-a descoperit o cauză de anulare, pedeapsa se consideră executată. </w:t>
      </w:r>
    </w:p>
    <w:p w:rsidR="004F0223" w:rsidRPr="00687518" w:rsidRDefault="004F0223" w:rsidP="004F0223">
      <w:pPr>
        <w:autoSpaceDE w:val="0"/>
        <w:autoSpaceDN w:val="0"/>
        <w:adjustRightInd w:val="0"/>
        <w:spacing w:after="0" w:line="240" w:lineRule="auto"/>
        <w:rPr>
          <w:rFonts w:cs="Calibri"/>
          <w:lang w:val="ro-RO" w:eastAsia="ro-RO"/>
        </w:rPr>
      </w:pP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4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Măsurile de siguranță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Dispoziții generale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107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Măsurile de siguranță au ca scop înlăturarea unei stări de pericol și preîntâmpinarea săvârșirii faptelor prevăzute de legea penală.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Măsurile de siguranță se iau față de persoana care a comis o faptă prevăzută de legea penală, nejustificată.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Măsurile de siguranță se pot lua și în situația în care făptuitorului nu i se aplică o pedeapsă.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108 - </w:t>
      </w:r>
      <w:r w:rsidRPr="00687518">
        <w:rPr>
          <w:rFonts w:cs="Calibri"/>
          <w:lang w:val="ro-RO" w:eastAsia="ro-RO"/>
        </w:rPr>
        <w:t xml:space="preserve">Măsurile de siguranță sunt: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obligarea la tratament medical;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internarea medicală;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interzicerea ocupării unei funcții sau a exercitării unei profesii;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confiscarea specială.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confiscarea extinsă. </w:t>
      </w:r>
    </w:p>
    <w:p w:rsidR="004F0223" w:rsidRPr="00687518" w:rsidRDefault="004F0223" w:rsidP="004F0223">
      <w:pPr>
        <w:autoSpaceDE w:val="0"/>
        <w:autoSpaceDN w:val="0"/>
        <w:adjustRightInd w:val="0"/>
        <w:spacing w:after="0" w:line="240" w:lineRule="auto"/>
        <w:rPr>
          <w:rFonts w:cs="Calibri"/>
          <w:b/>
          <w:bCs/>
          <w:lang w:val="ro-RO" w:eastAsia="ro-RO"/>
        </w:rPr>
      </w:pP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Regimul măsurilor de siguranță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109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făptuitorul, din cauza unei boli, inclusiv cea provocată de consumul cronic de alcool sau de alte substanțe psihoactive, prezintă pericol pentru societate, poate fi obligat să urmeze un tratament medical până la însănătoșire sau până la obținerea unei ameliorări care să înlăture starea de pericol.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persoana față de care s-a luat această măsură nu urmează tratamentul, se poate dispune internarea medicală.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persoana obligată la tratament este condamnată la o pedeapsă privativă de libertate, tratamentul se efectuează și în timpul executării pedepsei.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110 - </w:t>
      </w:r>
      <w:r w:rsidRPr="00687518">
        <w:rPr>
          <w:rFonts w:cs="Calibri"/>
          <w:lang w:val="ro-RO" w:eastAsia="ro-RO"/>
        </w:rPr>
        <w:t xml:space="preserve">Când făptuitorul este bolnav psihic, consumator cronic de substanțe psihoactive sau suferă de o boală infectocontagioasă și prezintă pericol pentru societate, se poate lua măsura internării într-o unitate sanitară de specialitate, până la însănătoșire sau până la obținerea unei ameliorări care să înlăture starea de pericol.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111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Când făptuitorul a săvârșit fapta datorită incapacității, nepregătirii sau altor cauze care îl fac inapt pentru ocuparea unei anumite funcții, pentru exercitarea unei profesii sau meserii ori pentru </w:t>
      </w:r>
      <w:r w:rsidRPr="00687518">
        <w:rPr>
          <w:rFonts w:cs="Calibri"/>
          <w:lang w:val="ro-RO" w:eastAsia="ro-RO"/>
        </w:rPr>
        <w:lastRenderedPageBreak/>
        <w:t xml:space="preserve">desfășurarea unei alte activități, se poate lua măsura interzicerii exercitării dreptului de a ocupa acea funcție ori de a exercita acea profesie, meserie sau activitate.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Măsura de siguranță poate fi revocată la cerere, după trecerea unui termen de cel puțin un an, dacă se constată că temeiurile care au impus luarea ei au încetat. O nouă cerere nu se poate face decât după trecerea unui termen de cel puțin un an de la data respingerii cererii anterioare.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112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Sunt supuse confiscării speciale: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bunurile produse prin săvârșirea faptei prevăzute de legea penală;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bunurile care au fost folosite, în orice mod, sau destinate a fi folosite la săvârșirea unei fapte prevăzute de legea penală, dacă sunt ale făptuitorului sau dacă, aparținând altei persoane, aceasta a cunoscut scopul folosirii lor;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bunurile folosite, imediat după săvârșirea faptei, pentru a asigura scăparea făptuitorului sau păstrarea folosului ori a produsului obținut, dacă sunt ale făptuitorului sau dacă, aparținând altei persoane, aceasta a cunoscut scopul folosirii lor;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bunurile care au fost date pentru a determina săvârșirea unei fapte prevăzute de legea penală sau pentru a răsplăti pe făptuitor;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bunurile dobândite prin săvârșirea faptei prevăzute de legea penală, dacă nu sunt restituite persoanei vătămate și în măsura în care nu servesc la despăgubirea acesteia;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bunurile a căror deținere este interzisă de legea penală.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prevăzut în alin. (1) lit. b) și lit. c), dacă valoarea bunurilor supuse confiscării este vădit disproporționată față de natura și gravitatea faptei, se dispune confiscarea în parte, prin echivalent bănesc, ținând seama de urmarea produsă sau care s-ar fi putut produce și de contribuția bunului la aceasta. Dacă bunurile au fost produse, modificate sau adaptate în scopul săvârșirii faptei prevăzute de legea penală, se dispune confiscarea lor în întregime.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cazurile prevăzute în alin. (1) lit. b) și lit. c), dacă bunurile nu pot fi confiscate, întrucât nu aparțin infractorului, iar persoana căreia îi aparțin nu a cunoscut scopul folosirii lor, se va confisca echivalentul în bani al acestora, cu aplicarea dispozițiilor alin. (2).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Dispozițiile alin. (1) lit. b) nu se aplică în cazul faptelor săvârșite prin presă.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bunurile supuse confiscării potrivit alin. (1) lit. b)-e) nu se găsesc, în locul lor se confiscă bani și bunuri până la concurența valorii acestora.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Se confiscă, de asemenea, bunurile și banii obținuți din exploatarea bunurilor supuse confiscării, precum și bunurile produse de acestea, cu excepția bunurilor prevăzute în alin. (1) lit. b) și lit. c).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Art. 112</w:t>
      </w:r>
      <w:r w:rsidRPr="00687518">
        <w:rPr>
          <w:rFonts w:cs="Calibri"/>
          <w:b/>
          <w:bCs/>
          <w:vertAlign w:val="superscript"/>
          <w:lang w:val="ro-RO" w:eastAsia="ro-RO"/>
        </w:rPr>
        <w:t>1</w:t>
      </w:r>
      <w:r w:rsidRPr="00687518">
        <w:rPr>
          <w:rFonts w:cs="Calibri"/>
          <w:b/>
          <w:bCs/>
          <w:lang w:val="ro-RO" w:eastAsia="ro-RO"/>
        </w:rPr>
        <w:t xml:space="preserv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Sunt supuse confiscării și alte bunuri decât cele menționate la art. 112, în cazul în care persoana este condamnată pentru comiterea uneia dintre următoarele infracțiuni, dacă fapta este susceptibilă să îi procure un folos material și pedeapsa prevăzută de lege este închisoarea de 4 ani sau mai mare: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infracțiuni privind traficul de droguri și de precursori;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infracțiuni privind traficul și exploatarea persoanelor vulnerabile;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infracțiuni privind frontiera de stat a României;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infracțiunea de spălare a banilor;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infracțiuni din legislația privind prevenirea și combaterea pornografiei;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infracțiuni din legislația privind combaterea terorismului;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constituirea unui grup infracțional organizat;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h. </w:t>
      </w:r>
      <w:r w:rsidRPr="00687518">
        <w:rPr>
          <w:rFonts w:cs="Calibri"/>
          <w:lang w:val="ro-RO" w:eastAsia="ro-RO"/>
        </w:rPr>
        <w:t xml:space="preserve">infracțiuni contra patrimoniului;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i. </w:t>
      </w:r>
      <w:r w:rsidRPr="00687518">
        <w:rPr>
          <w:rFonts w:cs="Calibri"/>
          <w:lang w:val="ro-RO" w:eastAsia="ro-RO"/>
        </w:rPr>
        <w:t xml:space="preserve">nerespectarea regimului armelor, munițiilor, materialelor nucleare și al materiilor explozive;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j. </w:t>
      </w:r>
      <w:r w:rsidRPr="00687518">
        <w:rPr>
          <w:rFonts w:cs="Calibri"/>
          <w:lang w:val="ro-RO" w:eastAsia="ro-RO"/>
        </w:rPr>
        <w:t xml:space="preserve">falsificarea de monede, timbre sau de alte valori;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k. </w:t>
      </w:r>
      <w:r w:rsidRPr="00687518">
        <w:rPr>
          <w:rFonts w:cs="Calibri"/>
          <w:lang w:val="ro-RO" w:eastAsia="ro-RO"/>
        </w:rPr>
        <w:t xml:space="preserve">divulgarea secretului economic, concurența neloială, nerespectarea dispozițiilor privind operații de import sau export, deturnarea de fonduri, infracțiuni privind regimul importului și al exportului, precum și al introducerii și scoaterii din țară de deșeuri și reziduuri;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l. </w:t>
      </w:r>
      <w:r w:rsidRPr="00687518">
        <w:rPr>
          <w:rFonts w:cs="Calibri"/>
          <w:lang w:val="ro-RO" w:eastAsia="ro-RO"/>
        </w:rPr>
        <w:t xml:space="preserve">infracțiuni privind jocurile de noroc;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m. </w:t>
      </w:r>
      <w:r w:rsidRPr="00687518">
        <w:rPr>
          <w:rFonts w:cs="Calibri"/>
          <w:lang w:val="ro-RO" w:eastAsia="ro-RO"/>
        </w:rPr>
        <w:t xml:space="preserve">infracțiuni de corupție, infracțiunile asimilate acestora, precum și infracțiunile împotriva intereselor financiare ale Uniunii Europene;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n. </w:t>
      </w:r>
      <w:r w:rsidRPr="00687518">
        <w:rPr>
          <w:rFonts w:cs="Calibri"/>
          <w:lang w:val="ro-RO" w:eastAsia="ro-RO"/>
        </w:rPr>
        <w:t xml:space="preserve">infracțiuni de evaziune fiscală;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o. </w:t>
      </w:r>
      <w:r w:rsidRPr="00687518">
        <w:rPr>
          <w:rFonts w:cs="Calibri"/>
          <w:lang w:val="ro-RO" w:eastAsia="ro-RO"/>
        </w:rPr>
        <w:t xml:space="preserve">infracțiuni privind regimul vamal;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p. </w:t>
      </w:r>
      <w:r w:rsidRPr="00687518">
        <w:rPr>
          <w:rFonts w:cs="Calibri"/>
          <w:lang w:val="ro-RO" w:eastAsia="ro-RO"/>
        </w:rPr>
        <w:t xml:space="preserve">infracțiuni de fraudă comise prin sisteme informatice și mijloace de plată electronice;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q. </w:t>
      </w:r>
      <w:r w:rsidRPr="00687518">
        <w:rPr>
          <w:rFonts w:cs="Calibri"/>
          <w:lang w:val="ro-RO" w:eastAsia="ro-RO"/>
        </w:rPr>
        <w:t xml:space="preserve">traficul de organe, țesuturi sau celule de origine umană.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Confiscarea extinsă se dispune dacă sunt îndeplinite cumulativ următoarele condiții: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valoarea bunurilor dobândite de persoana condamnată, într-o perioadă de 5 ani înainte și, dacă este cazul, după momentul săvârșirii infracțiunii, până la data emiterii actului de sesizare a instanței, depășește în mod vădit veniturile obținute de aceasta în mod licit;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instanța are convingerea că bunurile respective provin din activități infracționale de natura celor prevăzute la alin. (1).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Pentru aplicarea dispozițiilor alin. (2) se va ține seama și de valoarea bunurilor transferate de către persoana condamnată ori de un terț unui membru al familiei sau unei persoane juridice asupra căreia persoana condamnată deține controlul.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Prin bunuri, conform prezentului articol, se înțelege și sumele de bani.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La stabilirea diferenței dintre veniturile licite și valoarea bunurilor dobândite se vor avea în vedere valoarea bunurilor la data dobândirii lor și cheltuielile făcute de persoana condamnată, membrii familiei acesteia.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Dacă bunurile supuse confiscării nu se găsesc, în locul lor se confiscă bani și bunuri până la concurența valorii acestora. </w:t>
      </w:r>
    </w:p>
    <w:p w:rsidR="004F0223" w:rsidRPr="00687518"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Se confiscă, de asemenea, bunurile și banii obținuți din exploatarea sau folosirea bunurilor supuse confiscării, precum și bunurile produse de acestea. </w:t>
      </w:r>
    </w:p>
    <w:p w:rsidR="007F6422" w:rsidRPr="004F0223" w:rsidRDefault="004F0223" w:rsidP="004F0223">
      <w:pPr>
        <w:autoSpaceDE w:val="0"/>
        <w:autoSpaceDN w:val="0"/>
        <w:adjustRightInd w:val="0"/>
        <w:spacing w:after="0" w:line="240" w:lineRule="auto"/>
        <w:rPr>
          <w:rFonts w:cs="Calibri"/>
          <w:lang w:val="ro-RO" w:eastAsia="ro-RO"/>
        </w:rPr>
      </w:pPr>
      <w:r w:rsidRPr="00687518">
        <w:rPr>
          <w:rFonts w:cs="Calibri"/>
          <w:b/>
          <w:bCs/>
          <w:lang w:val="ro-RO" w:eastAsia="ro-RO"/>
        </w:rPr>
        <w:t xml:space="preserve">(8) - </w:t>
      </w:r>
      <w:r w:rsidRPr="00687518">
        <w:rPr>
          <w:rFonts w:cs="Calibri"/>
          <w:lang w:val="ro-RO" w:eastAsia="ro-RO"/>
        </w:rPr>
        <w:t>Confiscarea nu poate depăși valoarea bunurilor dobândite în perioada prevăzută la alin. (2), care excedează nivelului veniturilor li</w:t>
      </w:r>
      <w:r>
        <w:rPr>
          <w:rFonts w:cs="Calibri"/>
          <w:lang w:val="ro-RO" w:eastAsia="ro-RO"/>
        </w:rPr>
        <w:t xml:space="preserve">cite ale persoanei condamnate. </w:t>
      </w:r>
    </w:p>
    <w:sectPr w:rsidR="007F6422" w:rsidRPr="004F022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BC" w:rsidRDefault="001D54BC" w:rsidP="00FA2B68">
      <w:pPr>
        <w:spacing w:after="0" w:line="240" w:lineRule="auto"/>
      </w:pPr>
      <w:r>
        <w:separator/>
      </w:r>
    </w:p>
  </w:endnote>
  <w:endnote w:type="continuationSeparator" w:id="0">
    <w:p w:rsidR="001D54BC" w:rsidRDefault="001D54BC"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BC" w:rsidRDefault="001D54BC" w:rsidP="00FA2B68">
      <w:pPr>
        <w:spacing w:after="0" w:line="240" w:lineRule="auto"/>
      </w:pPr>
      <w:r>
        <w:separator/>
      </w:r>
    </w:p>
  </w:footnote>
  <w:footnote w:type="continuationSeparator" w:id="0">
    <w:p w:rsidR="001D54BC" w:rsidRDefault="001D54BC"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4F0223">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4F0223">
          <w:rPr>
            <w:b/>
            <w:bCs/>
            <w:noProof/>
          </w:rPr>
          <w:t>5</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1D54BC"/>
    <w:rsid w:val="00367CB9"/>
    <w:rsid w:val="004F0223"/>
    <w:rsid w:val="007F6422"/>
    <w:rsid w:val="00BF1579"/>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2459</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2014-09-17T05:35:00Z</dcterms:created>
  <dcterms:modified xsi:type="dcterms:W3CDTF">2014-09-17T05:35:00Z</dcterms:modified>
</cp:coreProperties>
</file>